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1A" w:rsidRDefault="009C7A8F" w:rsidP="009C7A8F">
      <w:pPr>
        <w:pStyle w:val="Default"/>
        <w:jc w:val="center"/>
      </w:pPr>
      <w:r>
        <w:rPr>
          <w:b/>
          <w:bCs/>
          <w:color w:val="201E1E"/>
          <w:sz w:val="28"/>
          <w:szCs w:val="28"/>
        </w:rPr>
        <w:t>NEWLY CONSTRUCTED</w:t>
      </w:r>
      <w:r w:rsidR="00CA0E6E">
        <w:rPr>
          <w:b/>
          <w:bCs/>
          <w:color w:val="201E1E"/>
          <w:sz w:val="28"/>
          <w:szCs w:val="28"/>
        </w:rPr>
        <w:t xml:space="preserve"> </w:t>
      </w:r>
      <w:r>
        <w:rPr>
          <w:b/>
          <w:bCs/>
          <w:color w:val="201E1E"/>
          <w:sz w:val="28"/>
          <w:szCs w:val="28"/>
        </w:rPr>
        <w:t>APARTMENTS FOR RENT</w:t>
      </w:r>
    </w:p>
    <w:p w:rsidR="009C7A8F" w:rsidRDefault="009C7A8F" w:rsidP="00EA391A">
      <w:pPr>
        <w:pStyle w:val="Default"/>
        <w:rPr>
          <w:b/>
          <w:bCs/>
          <w:sz w:val="20"/>
          <w:szCs w:val="20"/>
        </w:rPr>
      </w:pPr>
    </w:p>
    <w:p w:rsidR="00EA391A" w:rsidRDefault="004B4DF9" w:rsidP="005D0877">
      <w:pPr>
        <w:pStyle w:val="Default"/>
        <w:ind w:left="-1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Fountain Seaview</w:t>
      </w:r>
      <w:r w:rsidR="00080CFF">
        <w:rPr>
          <w:b/>
          <w:bCs/>
          <w:sz w:val="20"/>
          <w:szCs w:val="20"/>
        </w:rPr>
        <w:t xml:space="preserve"> LP</w:t>
      </w:r>
      <w:r>
        <w:rPr>
          <w:b/>
          <w:bCs/>
          <w:sz w:val="20"/>
          <w:szCs w:val="20"/>
        </w:rPr>
        <w:t xml:space="preserve"> </w:t>
      </w:r>
      <w:r w:rsidR="008202F3">
        <w:rPr>
          <w:b/>
          <w:bCs/>
          <w:sz w:val="20"/>
          <w:szCs w:val="20"/>
        </w:rPr>
        <w:t>–</w:t>
      </w:r>
      <w:r w:rsidR="00EA391A">
        <w:rPr>
          <w:b/>
          <w:bCs/>
          <w:sz w:val="20"/>
          <w:szCs w:val="20"/>
        </w:rPr>
        <w:t xml:space="preserve"> </w:t>
      </w:r>
      <w:r w:rsidR="00716BD6">
        <w:rPr>
          <w:b/>
          <w:bCs/>
          <w:sz w:val="20"/>
          <w:szCs w:val="20"/>
        </w:rPr>
        <w:t>B</w:t>
      </w:r>
      <w:r w:rsidR="004E29A6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</w:t>
      </w:r>
      <w:r w:rsidR="00EA391A">
        <w:rPr>
          <w:sz w:val="20"/>
          <w:szCs w:val="20"/>
        </w:rPr>
        <w:t xml:space="preserve">is pleased to announce that applications </w:t>
      </w:r>
      <w:proofErr w:type="gramStart"/>
      <w:r w:rsidR="00EA391A">
        <w:rPr>
          <w:sz w:val="20"/>
          <w:szCs w:val="20"/>
        </w:rPr>
        <w:t>are now being accepted</w:t>
      </w:r>
      <w:proofErr w:type="gramEnd"/>
      <w:r w:rsidR="00EA391A">
        <w:rPr>
          <w:sz w:val="20"/>
          <w:szCs w:val="20"/>
        </w:rPr>
        <w:t xml:space="preserve"> for </w:t>
      </w:r>
      <w:r w:rsidR="008A7CC7">
        <w:rPr>
          <w:b/>
          <w:sz w:val="20"/>
          <w:szCs w:val="20"/>
        </w:rPr>
        <w:t>354</w:t>
      </w:r>
      <w:r w:rsidR="00B839AE">
        <w:rPr>
          <w:b/>
          <w:sz w:val="20"/>
          <w:szCs w:val="20"/>
        </w:rPr>
        <w:t xml:space="preserve"> </w:t>
      </w:r>
      <w:r w:rsidR="00EA391A">
        <w:rPr>
          <w:sz w:val="20"/>
          <w:szCs w:val="20"/>
        </w:rPr>
        <w:t xml:space="preserve">affordable housing rental apartments now under construction at </w:t>
      </w:r>
      <w:r w:rsidR="008A7CC7">
        <w:rPr>
          <w:b/>
          <w:bCs/>
          <w:sz w:val="20"/>
          <w:szCs w:val="20"/>
        </w:rPr>
        <w:t>894 Fountain</w:t>
      </w:r>
      <w:r w:rsidR="00716BD6">
        <w:rPr>
          <w:b/>
          <w:bCs/>
          <w:sz w:val="20"/>
          <w:szCs w:val="20"/>
        </w:rPr>
        <w:t xml:space="preserve"> Ave</w:t>
      </w:r>
      <w:r w:rsidR="00EA391A">
        <w:rPr>
          <w:b/>
          <w:bCs/>
          <w:sz w:val="20"/>
          <w:szCs w:val="20"/>
        </w:rPr>
        <w:t xml:space="preserve"> </w:t>
      </w:r>
      <w:r w:rsidR="00EA391A">
        <w:rPr>
          <w:sz w:val="20"/>
          <w:szCs w:val="20"/>
        </w:rPr>
        <w:t xml:space="preserve">in the </w:t>
      </w:r>
      <w:r>
        <w:rPr>
          <w:b/>
          <w:sz w:val="20"/>
          <w:szCs w:val="20"/>
        </w:rPr>
        <w:t>East New York</w:t>
      </w:r>
      <w:r w:rsidR="00EA391A">
        <w:rPr>
          <w:sz w:val="20"/>
          <w:szCs w:val="20"/>
        </w:rPr>
        <w:t xml:space="preserve"> section of </w:t>
      </w:r>
      <w:r>
        <w:rPr>
          <w:b/>
          <w:bCs/>
          <w:sz w:val="20"/>
          <w:szCs w:val="20"/>
        </w:rPr>
        <w:t>Brooklyn.</w:t>
      </w:r>
      <w:r w:rsidR="00EA391A">
        <w:rPr>
          <w:b/>
          <w:bCs/>
          <w:sz w:val="20"/>
          <w:szCs w:val="20"/>
        </w:rPr>
        <w:t xml:space="preserve"> </w:t>
      </w:r>
      <w:r w:rsidR="00EA391A">
        <w:rPr>
          <w:sz w:val="20"/>
          <w:szCs w:val="20"/>
        </w:rPr>
        <w:t xml:space="preserve">This building </w:t>
      </w:r>
      <w:proofErr w:type="gramStart"/>
      <w:r w:rsidR="00EA391A">
        <w:rPr>
          <w:sz w:val="20"/>
          <w:szCs w:val="20"/>
        </w:rPr>
        <w:t>is being constructed</w:t>
      </w:r>
      <w:proofErr w:type="gramEnd"/>
      <w:r w:rsidR="00EA391A">
        <w:rPr>
          <w:sz w:val="20"/>
          <w:szCs w:val="20"/>
        </w:rPr>
        <w:t xml:space="preserve"> through the Low-Income </w:t>
      </w:r>
      <w:r w:rsidR="00A403EA">
        <w:rPr>
          <w:sz w:val="20"/>
          <w:szCs w:val="20"/>
        </w:rPr>
        <w:t>Housing Credit</w:t>
      </w:r>
      <w:r w:rsidR="00EA391A">
        <w:rPr>
          <w:sz w:val="20"/>
          <w:szCs w:val="20"/>
        </w:rPr>
        <w:t xml:space="preserve"> Program (L</w:t>
      </w:r>
      <w:r w:rsidR="00A403EA">
        <w:rPr>
          <w:sz w:val="20"/>
          <w:szCs w:val="20"/>
        </w:rPr>
        <w:t>IHC</w:t>
      </w:r>
      <w:r w:rsidR="00C63B4B">
        <w:rPr>
          <w:sz w:val="20"/>
          <w:szCs w:val="20"/>
        </w:rPr>
        <w:t xml:space="preserve">) </w:t>
      </w:r>
      <w:r w:rsidR="00750007">
        <w:rPr>
          <w:sz w:val="20"/>
          <w:szCs w:val="20"/>
        </w:rPr>
        <w:t xml:space="preserve">of the New York State Homes and Community Renewal </w:t>
      </w:r>
      <w:r>
        <w:rPr>
          <w:sz w:val="20"/>
          <w:szCs w:val="20"/>
        </w:rPr>
        <w:t xml:space="preserve">and the </w:t>
      </w:r>
      <w:r w:rsidR="00750007">
        <w:rPr>
          <w:sz w:val="20"/>
          <w:szCs w:val="20"/>
        </w:rPr>
        <w:t>New Construction Capital Program (NCP)</w:t>
      </w:r>
      <w:r>
        <w:rPr>
          <w:sz w:val="20"/>
          <w:szCs w:val="20"/>
        </w:rPr>
        <w:t xml:space="preserve"> </w:t>
      </w:r>
      <w:r w:rsidR="00EA391A">
        <w:rPr>
          <w:sz w:val="20"/>
          <w:szCs w:val="20"/>
        </w:rPr>
        <w:t>of the</w:t>
      </w:r>
      <w:r w:rsidR="00750007">
        <w:rPr>
          <w:sz w:val="20"/>
          <w:szCs w:val="20"/>
        </w:rPr>
        <w:t xml:space="preserve"> NYS Housing Finance Agency</w:t>
      </w:r>
      <w:r w:rsidR="00EA391A">
        <w:rPr>
          <w:sz w:val="20"/>
          <w:szCs w:val="20"/>
        </w:rPr>
        <w:t>. The size, rent and target</w:t>
      </w:r>
      <w:r w:rsidR="009C7A8F">
        <w:rPr>
          <w:sz w:val="20"/>
          <w:szCs w:val="20"/>
        </w:rPr>
        <w:t xml:space="preserve">ed income distribution for the </w:t>
      </w:r>
      <w:r w:rsidR="00750007">
        <w:rPr>
          <w:sz w:val="20"/>
          <w:szCs w:val="20"/>
        </w:rPr>
        <w:t>354</w:t>
      </w:r>
      <w:r w:rsidR="00EA391A">
        <w:rPr>
          <w:sz w:val="20"/>
          <w:szCs w:val="20"/>
        </w:rPr>
        <w:t xml:space="preserve"> apartments are as follows: </w:t>
      </w:r>
    </w:p>
    <w:p w:rsidR="009C7A8F" w:rsidRDefault="009C7A8F" w:rsidP="00EA391A">
      <w:pPr>
        <w:pStyle w:val="Default"/>
        <w:rPr>
          <w:sz w:val="20"/>
          <w:szCs w:val="20"/>
        </w:rPr>
      </w:pPr>
    </w:p>
    <w:tbl>
      <w:tblPr>
        <w:tblW w:w="115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  <w:tblCaption w:val="Unit size, household size, and income table"/>
        <w:tblDescription w:val="The symbols in this table are images of people, to indicate visually how many people can live in each unit size."/>
      </w:tblPr>
      <w:tblGrid>
        <w:gridCol w:w="990"/>
        <w:gridCol w:w="562"/>
        <w:gridCol w:w="788"/>
        <w:gridCol w:w="720"/>
        <w:gridCol w:w="360"/>
        <w:gridCol w:w="990"/>
        <w:gridCol w:w="1890"/>
        <w:gridCol w:w="545"/>
        <w:gridCol w:w="805"/>
        <w:gridCol w:w="630"/>
        <w:gridCol w:w="270"/>
        <w:gridCol w:w="990"/>
        <w:gridCol w:w="1983"/>
      </w:tblGrid>
      <w:tr w:rsidR="00D8522B" w:rsidRPr="00D8522B" w:rsidTr="005D0877">
        <w:trPr>
          <w:trHeight w:val="484"/>
        </w:trPr>
        <w:tc>
          <w:tcPr>
            <w:tcW w:w="990" w:type="dxa"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Unit Size</w:t>
            </w:r>
          </w:p>
        </w:tc>
        <w:tc>
          <w:tcPr>
            <w:tcW w:w="562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30%  AREA MEDIAN INCOME (AMI) UNITS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Monthly Rent</w:t>
            </w:r>
            <w:r w:rsidRPr="00CA0E6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Units Avail-able</w:t>
            </w:r>
          </w:p>
        </w:tc>
        <w:tc>
          <w:tcPr>
            <w:tcW w:w="360" w:type="dxa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House-hold Size</w:t>
            </w:r>
            <w:r w:rsidRPr="00CA0E6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Annual Household Income</w:t>
            </w:r>
            <w:r w:rsidRPr="00CA0E6E">
              <w:rPr>
                <w:sz w:val="18"/>
                <w:szCs w:val="18"/>
                <w:vertAlign w:val="superscript"/>
              </w:rPr>
              <w:t>3</w:t>
            </w:r>
          </w:p>
          <w:p w:rsidR="00D8522B" w:rsidRPr="00CA0E6E" w:rsidRDefault="00D8522B" w:rsidP="00305554">
            <w:pPr>
              <w:pStyle w:val="Default"/>
              <w:jc w:val="center"/>
              <w:rPr>
                <w:i/>
                <w:iCs/>
                <w:sz w:val="18"/>
                <w:szCs w:val="18"/>
                <w:vertAlign w:val="superscript"/>
              </w:rPr>
            </w:pPr>
            <w:r w:rsidRPr="00CA0E6E">
              <w:rPr>
                <w:i/>
                <w:iCs/>
                <w:sz w:val="18"/>
                <w:szCs w:val="18"/>
              </w:rPr>
              <w:t>Minimum – Maximum</w:t>
            </w:r>
            <w:r w:rsidRPr="00CA0E6E"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4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40%  AREA MEDIAN INCOME (AMI) UNITS</w:t>
            </w:r>
          </w:p>
        </w:tc>
        <w:tc>
          <w:tcPr>
            <w:tcW w:w="805" w:type="dxa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Monthly Rent</w:t>
            </w:r>
            <w:r w:rsidRPr="00CA0E6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0" w:type="dxa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Units Avail-able</w:t>
            </w:r>
          </w:p>
        </w:tc>
        <w:tc>
          <w:tcPr>
            <w:tcW w:w="270" w:type="dxa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House-hold Size</w:t>
            </w:r>
            <w:r w:rsidRPr="00CA0E6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Annual Household Income</w:t>
            </w:r>
            <w:r w:rsidRPr="00CA0E6E">
              <w:rPr>
                <w:sz w:val="18"/>
                <w:szCs w:val="18"/>
                <w:vertAlign w:val="superscript"/>
              </w:rPr>
              <w:t>3</w:t>
            </w:r>
          </w:p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i/>
                <w:iCs/>
                <w:sz w:val="18"/>
                <w:szCs w:val="18"/>
              </w:rPr>
              <w:t>Minimum – Maximum</w:t>
            </w:r>
            <w:r w:rsidRPr="00CA0E6E"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CA0E6E" w:rsidRPr="00D8522B" w:rsidTr="00642598">
        <w:trPr>
          <w:trHeight w:hRule="exact" w:val="236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Studio</w:t>
            </w:r>
          </w:p>
        </w:tc>
        <w:tc>
          <w:tcPr>
            <w:tcW w:w="562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D2EAF1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397</w:t>
            </w:r>
            <w:r w:rsidRPr="00CA0E6E">
              <w:rPr>
                <w:sz w:val="18"/>
                <w:szCs w:val="18"/>
              </w:rPr>
              <w:softHyphen/>
            </w:r>
            <w:r w:rsidRPr="00CA0E6E">
              <w:rPr>
                <w:sz w:val="18"/>
                <w:szCs w:val="18"/>
              </w:rPr>
              <w:softHyphen/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D2EAF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D2EAF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 person</w:t>
            </w:r>
          </w:p>
        </w:tc>
        <w:tc>
          <w:tcPr>
            <w:tcW w:w="1890" w:type="dxa"/>
            <w:shd w:val="clear" w:color="auto" w:fill="D2EAF1"/>
            <w:vAlign w:val="center"/>
          </w:tcPr>
          <w:p w:rsidR="00D8522B" w:rsidRPr="00CA0E6E" w:rsidRDefault="00D8522B" w:rsidP="001F199F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15,806</w:t>
            </w:r>
            <w:r w:rsidRPr="00CA0E6E">
              <w:rPr>
                <w:sz w:val="18"/>
                <w:szCs w:val="18"/>
              </w:rPr>
              <w:t xml:space="preserve"> - $ 23,880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567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11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 person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1F199F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21,635</w:t>
            </w:r>
            <w:r w:rsidRPr="00CA0E6E">
              <w:rPr>
                <w:sz w:val="18"/>
                <w:szCs w:val="18"/>
              </w:rPr>
              <w:t xml:space="preserve"> - $ 31,840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 bedroom</w:t>
            </w: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503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1 person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D8522B" w:rsidRPr="00CA0E6E" w:rsidRDefault="00D8522B" w:rsidP="001F199F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19,715</w:t>
            </w:r>
            <w:r w:rsidRPr="00CA0E6E">
              <w:rPr>
                <w:sz w:val="18"/>
                <w:szCs w:val="18"/>
              </w:rPr>
              <w:t xml:space="preserve"> - $ 23,880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717</w:t>
            </w:r>
          </w:p>
        </w:tc>
        <w:tc>
          <w:tcPr>
            <w:tcW w:w="630" w:type="dxa"/>
            <w:vMerge w:val="restart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20</w:t>
            </w:r>
          </w:p>
        </w:tc>
        <w:tc>
          <w:tcPr>
            <w:tcW w:w="270" w:type="dxa"/>
            <w:vMerge w:val="restart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1 person 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1F199F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27,052</w:t>
            </w:r>
            <w:r w:rsidRPr="00CA0E6E">
              <w:rPr>
                <w:sz w:val="18"/>
                <w:szCs w:val="18"/>
              </w:rPr>
              <w:t xml:space="preserve"> - $ 31,840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people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D8522B" w:rsidRPr="00CA0E6E" w:rsidRDefault="00D8522B" w:rsidP="001F199F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19,715</w:t>
            </w:r>
            <w:r w:rsidRPr="00CA0E6E">
              <w:rPr>
                <w:sz w:val="18"/>
                <w:szCs w:val="18"/>
              </w:rPr>
              <w:t xml:space="preserve"> - $ 27,300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people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27,052</w:t>
            </w:r>
            <w:r w:rsidR="001F199F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$ 36,400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bedroom</w:t>
            </w: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shd w:val="clear" w:color="auto" w:fill="DAEEF3" w:themeFill="accent5" w:themeFillTint="33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598</w:t>
            </w:r>
          </w:p>
        </w:tc>
        <w:tc>
          <w:tcPr>
            <w:tcW w:w="720" w:type="dxa"/>
            <w:vMerge w:val="restart"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10</w:t>
            </w:r>
          </w:p>
        </w:tc>
        <w:tc>
          <w:tcPr>
            <w:tcW w:w="360" w:type="dxa"/>
            <w:vMerge w:val="restart"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people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D8522B" w:rsidRPr="00CA0E6E" w:rsidRDefault="00D8522B" w:rsidP="001F199F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$ 2</w:t>
            </w:r>
            <w:r w:rsidR="001F199F">
              <w:rPr>
                <w:sz w:val="18"/>
                <w:szCs w:val="18"/>
              </w:rPr>
              <w:t>3</w:t>
            </w:r>
            <w:r w:rsidRPr="00CA0E6E">
              <w:rPr>
                <w:sz w:val="18"/>
                <w:szCs w:val="18"/>
              </w:rPr>
              <w:t>,</w:t>
            </w:r>
            <w:r w:rsidR="001F199F">
              <w:rPr>
                <w:sz w:val="18"/>
                <w:szCs w:val="18"/>
              </w:rPr>
              <w:t>69</w:t>
            </w:r>
            <w:r w:rsidRPr="00CA0E6E">
              <w:rPr>
                <w:sz w:val="18"/>
                <w:szCs w:val="18"/>
              </w:rPr>
              <w:t>2 - $ 27,300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shd w:val="clear" w:color="auto" w:fill="F2F2F2" w:themeFill="background1" w:themeFillShade="F2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854</w:t>
            </w: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10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people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1F199F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32,469</w:t>
            </w:r>
            <w:r w:rsidRPr="00CA0E6E">
              <w:rPr>
                <w:sz w:val="18"/>
                <w:szCs w:val="18"/>
              </w:rPr>
              <w:t xml:space="preserve"> - $ 36,400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people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 w:rsidRPr="00CA0E6E">
              <w:rPr>
                <w:sz w:val="18"/>
                <w:szCs w:val="18"/>
              </w:rPr>
              <w:t>2</w:t>
            </w:r>
            <w:r w:rsidR="001F199F">
              <w:rPr>
                <w:sz w:val="18"/>
                <w:szCs w:val="18"/>
              </w:rPr>
              <w:t>3</w:t>
            </w:r>
            <w:r w:rsidR="001F199F" w:rsidRPr="00CA0E6E">
              <w:rPr>
                <w:sz w:val="18"/>
                <w:szCs w:val="18"/>
              </w:rPr>
              <w:t>,</w:t>
            </w:r>
            <w:r w:rsidR="001F199F">
              <w:rPr>
                <w:sz w:val="18"/>
                <w:szCs w:val="18"/>
              </w:rPr>
              <w:t>69</w:t>
            </w:r>
            <w:r w:rsidR="001F199F" w:rsidRPr="00CA0E6E">
              <w:rPr>
                <w:sz w:val="18"/>
                <w:szCs w:val="18"/>
              </w:rPr>
              <w:t xml:space="preserve">2 </w:t>
            </w:r>
            <w:r w:rsidRPr="00CA0E6E">
              <w:rPr>
                <w:sz w:val="18"/>
                <w:szCs w:val="18"/>
              </w:rPr>
              <w:t>- $ 30,720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people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32,469</w:t>
            </w:r>
            <w:r w:rsidR="001F199F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$ 40,960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4 people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 w:rsidRPr="00CA0E6E">
              <w:rPr>
                <w:sz w:val="18"/>
                <w:szCs w:val="18"/>
              </w:rPr>
              <w:t>2</w:t>
            </w:r>
            <w:r w:rsidR="001F199F">
              <w:rPr>
                <w:sz w:val="18"/>
                <w:szCs w:val="18"/>
              </w:rPr>
              <w:t>3</w:t>
            </w:r>
            <w:r w:rsidR="001F199F" w:rsidRPr="00CA0E6E">
              <w:rPr>
                <w:sz w:val="18"/>
                <w:szCs w:val="18"/>
              </w:rPr>
              <w:t>,</w:t>
            </w:r>
            <w:r w:rsidR="001F199F">
              <w:rPr>
                <w:sz w:val="18"/>
                <w:szCs w:val="18"/>
              </w:rPr>
              <w:t>69</w:t>
            </w:r>
            <w:r w:rsidR="001F199F" w:rsidRPr="00CA0E6E">
              <w:rPr>
                <w:sz w:val="18"/>
                <w:szCs w:val="18"/>
              </w:rPr>
              <w:t xml:space="preserve">2 </w:t>
            </w:r>
            <w:r w:rsidRPr="00CA0E6E">
              <w:rPr>
                <w:sz w:val="18"/>
                <w:szCs w:val="18"/>
              </w:rPr>
              <w:t>- $ 34,110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4 people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32,469</w:t>
            </w:r>
            <w:r w:rsidR="001F199F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$ 45,480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bedroom</w:t>
            </w: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shd w:val="clear" w:color="auto" w:fill="FFFFFF" w:themeFill="background1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683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people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8522B" w:rsidRPr="00CA0E6E" w:rsidRDefault="00D8522B" w:rsidP="001F199F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$ 2</w:t>
            </w:r>
            <w:r w:rsidR="001F199F">
              <w:rPr>
                <w:sz w:val="18"/>
                <w:szCs w:val="18"/>
              </w:rPr>
              <w:t>7</w:t>
            </w:r>
            <w:r w:rsidRPr="00CA0E6E">
              <w:rPr>
                <w:sz w:val="18"/>
                <w:szCs w:val="18"/>
              </w:rPr>
              <w:t>,</w:t>
            </w:r>
            <w:r w:rsidR="001F199F">
              <w:rPr>
                <w:sz w:val="18"/>
                <w:szCs w:val="18"/>
              </w:rPr>
              <w:t>36</w:t>
            </w:r>
            <w:r w:rsidRPr="00CA0E6E">
              <w:rPr>
                <w:sz w:val="18"/>
                <w:szCs w:val="18"/>
              </w:rPr>
              <w:t>0 - $ 30,720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978</w:t>
            </w:r>
          </w:p>
        </w:tc>
        <w:tc>
          <w:tcPr>
            <w:tcW w:w="630" w:type="dxa"/>
            <w:vMerge w:val="restart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</w:t>
            </w:r>
          </w:p>
        </w:tc>
        <w:tc>
          <w:tcPr>
            <w:tcW w:w="270" w:type="dxa"/>
            <w:vMerge w:val="restart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people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1F199F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37,475</w:t>
            </w:r>
            <w:r w:rsidRPr="00CA0E6E">
              <w:rPr>
                <w:sz w:val="18"/>
                <w:szCs w:val="18"/>
              </w:rPr>
              <w:t xml:space="preserve"> - $ 40,960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4 people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 w:rsidRPr="00CA0E6E">
              <w:rPr>
                <w:sz w:val="18"/>
                <w:szCs w:val="18"/>
              </w:rPr>
              <w:t>2</w:t>
            </w:r>
            <w:r w:rsidR="001F199F">
              <w:rPr>
                <w:sz w:val="18"/>
                <w:szCs w:val="18"/>
              </w:rPr>
              <w:t>7</w:t>
            </w:r>
            <w:r w:rsidR="001F199F" w:rsidRPr="00CA0E6E">
              <w:rPr>
                <w:sz w:val="18"/>
                <w:szCs w:val="18"/>
              </w:rPr>
              <w:t>,</w:t>
            </w:r>
            <w:r w:rsidR="001F199F">
              <w:rPr>
                <w:sz w:val="18"/>
                <w:szCs w:val="18"/>
              </w:rPr>
              <w:t>36</w:t>
            </w:r>
            <w:r w:rsidR="001F199F" w:rsidRPr="00CA0E6E">
              <w:rPr>
                <w:sz w:val="18"/>
                <w:szCs w:val="18"/>
              </w:rPr>
              <w:t xml:space="preserve">0 </w:t>
            </w:r>
            <w:r w:rsidRPr="00CA0E6E">
              <w:rPr>
                <w:sz w:val="18"/>
                <w:szCs w:val="18"/>
              </w:rPr>
              <w:t>- $ 34,110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4 people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37,475</w:t>
            </w:r>
            <w:r w:rsidR="001F199F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$ 45,480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5 people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 w:rsidRPr="00CA0E6E">
              <w:rPr>
                <w:sz w:val="18"/>
                <w:szCs w:val="18"/>
              </w:rPr>
              <w:t>2</w:t>
            </w:r>
            <w:r w:rsidR="001F199F">
              <w:rPr>
                <w:sz w:val="18"/>
                <w:szCs w:val="18"/>
              </w:rPr>
              <w:t>7</w:t>
            </w:r>
            <w:r w:rsidR="001F199F" w:rsidRPr="00CA0E6E">
              <w:rPr>
                <w:sz w:val="18"/>
                <w:szCs w:val="18"/>
              </w:rPr>
              <w:t>,</w:t>
            </w:r>
            <w:r w:rsidR="001F199F">
              <w:rPr>
                <w:sz w:val="18"/>
                <w:szCs w:val="18"/>
              </w:rPr>
              <w:t>36</w:t>
            </w:r>
            <w:r w:rsidR="001F199F" w:rsidRPr="00CA0E6E">
              <w:rPr>
                <w:sz w:val="18"/>
                <w:szCs w:val="18"/>
              </w:rPr>
              <w:t xml:space="preserve">0 </w:t>
            </w:r>
            <w:r w:rsidRPr="00CA0E6E">
              <w:rPr>
                <w:sz w:val="18"/>
                <w:szCs w:val="18"/>
              </w:rPr>
              <w:t>- $ 36,840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5 people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37,475</w:t>
            </w:r>
            <w:r w:rsidR="001F199F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$ 49,120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6 people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 w:rsidRPr="00CA0E6E">
              <w:rPr>
                <w:sz w:val="18"/>
                <w:szCs w:val="18"/>
              </w:rPr>
              <w:t>2</w:t>
            </w:r>
            <w:r w:rsidR="001F199F">
              <w:rPr>
                <w:sz w:val="18"/>
                <w:szCs w:val="18"/>
              </w:rPr>
              <w:t>7</w:t>
            </w:r>
            <w:r w:rsidR="001F199F" w:rsidRPr="00CA0E6E">
              <w:rPr>
                <w:sz w:val="18"/>
                <w:szCs w:val="18"/>
              </w:rPr>
              <w:t>,</w:t>
            </w:r>
            <w:r w:rsidR="001F199F">
              <w:rPr>
                <w:sz w:val="18"/>
                <w:szCs w:val="18"/>
              </w:rPr>
              <w:t>36</w:t>
            </w:r>
            <w:r w:rsidR="001F199F" w:rsidRPr="00CA0E6E">
              <w:rPr>
                <w:sz w:val="18"/>
                <w:szCs w:val="18"/>
              </w:rPr>
              <w:t xml:space="preserve">0 </w:t>
            </w:r>
            <w:r w:rsidRPr="00CA0E6E">
              <w:rPr>
                <w:sz w:val="18"/>
                <w:szCs w:val="18"/>
              </w:rPr>
              <w:t>- $ 39,570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6 people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1F199F">
              <w:rPr>
                <w:sz w:val="18"/>
                <w:szCs w:val="18"/>
              </w:rPr>
              <w:t>37,475</w:t>
            </w:r>
            <w:r w:rsidR="001F199F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$ 52,760</w:t>
            </w:r>
          </w:p>
        </w:tc>
      </w:tr>
      <w:tr w:rsidR="00D8522B" w:rsidRPr="00D8522B" w:rsidTr="00642598">
        <w:trPr>
          <w:trHeight w:val="484"/>
        </w:trPr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Unit Size</w:t>
            </w:r>
          </w:p>
        </w:tc>
        <w:tc>
          <w:tcPr>
            <w:tcW w:w="562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60%  AREA MEDIAN INCOME (AMI) UNITS</w:t>
            </w:r>
          </w:p>
        </w:tc>
        <w:tc>
          <w:tcPr>
            <w:tcW w:w="7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Monthly Rent</w:t>
            </w:r>
            <w:r w:rsidRPr="00CA0E6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Units Ava</w:t>
            </w:r>
            <w:bookmarkStart w:id="0" w:name="_GoBack"/>
            <w:bookmarkEnd w:id="0"/>
            <w:r w:rsidRPr="00CA0E6E">
              <w:rPr>
                <w:b/>
                <w:bCs/>
                <w:sz w:val="18"/>
                <w:szCs w:val="18"/>
              </w:rPr>
              <w:t>il-able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House-hold Size</w:t>
            </w:r>
            <w:r w:rsidRPr="00CA0E6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Annual Household Income</w:t>
            </w:r>
            <w:r w:rsidRPr="00CA0E6E">
              <w:rPr>
                <w:sz w:val="18"/>
                <w:szCs w:val="18"/>
                <w:vertAlign w:val="superscript"/>
              </w:rPr>
              <w:t>3</w:t>
            </w:r>
          </w:p>
          <w:p w:rsidR="00D8522B" w:rsidRPr="00CA0E6E" w:rsidRDefault="00D8522B" w:rsidP="00642598">
            <w:pPr>
              <w:pStyle w:val="Default"/>
              <w:jc w:val="center"/>
              <w:rPr>
                <w:i/>
                <w:iCs/>
                <w:sz w:val="18"/>
                <w:szCs w:val="18"/>
                <w:vertAlign w:val="superscript"/>
              </w:rPr>
            </w:pPr>
            <w:r w:rsidRPr="00CA0E6E">
              <w:rPr>
                <w:i/>
                <w:iCs/>
                <w:sz w:val="18"/>
                <w:szCs w:val="18"/>
              </w:rPr>
              <w:t>Minimum – Maximum</w:t>
            </w:r>
            <w:r w:rsidRPr="00CA0E6E"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80%  AREA MEDIAN INCOME (AMI) UNITS</w:t>
            </w:r>
          </w:p>
        </w:tc>
        <w:tc>
          <w:tcPr>
            <w:tcW w:w="805" w:type="dxa"/>
            <w:tcBorders>
              <w:top w:val="single" w:sz="18" w:space="0" w:color="auto"/>
            </w:tcBorders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Monthly Rent</w:t>
            </w:r>
            <w:r w:rsidRPr="00CA0E6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Units Avail-able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House-hold Size</w:t>
            </w:r>
            <w:r w:rsidRPr="00CA0E6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18" w:space="0" w:color="auto"/>
            </w:tcBorders>
            <w:vAlign w:val="center"/>
          </w:tcPr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b/>
                <w:bCs/>
                <w:sz w:val="18"/>
                <w:szCs w:val="18"/>
              </w:rPr>
              <w:t>Annual Household Income</w:t>
            </w:r>
            <w:r w:rsidRPr="00CA0E6E">
              <w:rPr>
                <w:sz w:val="18"/>
                <w:szCs w:val="18"/>
                <w:vertAlign w:val="superscript"/>
              </w:rPr>
              <w:t>3</w:t>
            </w:r>
          </w:p>
          <w:p w:rsidR="00D8522B" w:rsidRPr="00CA0E6E" w:rsidRDefault="00D8522B" w:rsidP="0030555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A0E6E">
              <w:rPr>
                <w:i/>
                <w:iCs/>
                <w:sz w:val="18"/>
                <w:szCs w:val="18"/>
              </w:rPr>
              <w:t>Minimum – Maximum</w:t>
            </w:r>
            <w:r w:rsidRPr="00CA0E6E">
              <w:rPr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D8522B" w:rsidRPr="00D8522B" w:rsidTr="00642598">
        <w:trPr>
          <w:trHeight w:hRule="exact" w:val="236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Studio</w:t>
            </w:r>
          </w:p>
        </w:tc>
        <w:tc>
          <w:tcPr>
            <w:tcW w:w="562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D2EAF1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909</w:t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D2EAF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D2EAF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 person</w:t>
            </w:r>
          </w:p>
        </w:tc>
        <w:tc>
          <w:tcPr>
            <w:tcW w:w="1890" w:type="dxa"/>
            <w:shd w:val="clear" w:color="auto" w:fill="D2EAF1"/>
            <w:vAlign w:val="center"/>
          </w:tcPr>
          <w:p w:rsidR="00D8522B" w:rsidRPr="00CA0E6E" w:rsidRDefault="00D8522B" w:rsidP="002C2E52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33,360</w:t>
            </w:r>
            <w:r w:rsidRPr="00CA0E6E">
              <w:rPr>
                <w:sz w:val="18"/>
                <w:szCs w:val="18"/>
              </w:rPr>
              <w:t xml:space="preserve"> - $ 47,760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$1,</w:t>
            </w:r>
            <w:r w:rsidR="00840075">
              <w:rPr>
                <w:sz w:val="18"/>
                <w:szCs w:val="18"/>
              </w:rPr>
              <w:t>302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 person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8522B" w:rsidRPr="00CA0E6E" w:rsidRDefault="00D8522B" w:rsidP="002C2E52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46,835</w:t>
            </w:r>
            <w:r w:rsidRPr="00CA0E6E">
              <w:rPr>
                <w:sz w:val="18"/>
                <w:szCs w:val="18"/>
              </w:rPr>
              <w:t xml:space="preserve"> - $ 63,680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 bedroom</w:t>
            </w: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1,143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75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1 person 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D8522B" w:rsidRPr="00CA0E6E" w:rsidRDefault="00D8522B" w:rsidP="002C2E52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41,658</w:t>
            </w:r>
            <w:r w:rsidRPr="00CA0E6E">
              <w:rPr>
                <w:sz w:val="18"/>
                <w:szCs w:val="18"/>
              </w:rPr>
              <w:t xml:space="preserve"> - $ 47,760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$1,</w:t>
            </w:r>
            <w:r w:rsidR="00840075">
              <w:rPr>
                <w:sz w:val="18"/>
                <w:szCs w:val="18"/>
              </w:rPr>
              <w:t>634</w:t>
            </w:r>
          </w:p>
        </w:tc>
        <w:tc>
          <w:tcPr>
            <w:tcW w:w="630" w:type="dxa"/>
            <w:vMerge w:val="restart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40</w:t>
            </w:r>
          </w:p>
        </w:tc>
        <w:tc>
          <w:tcPr>
            <w:tcW w:w="270" w:type="dxa"/>
            <w:vMerge w:val="restart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1 person 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2C2E52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58,492</w:t>
            </w:r>
            <w:r w:rsidRPr="00CA0E6E">
              <w:rPr>
                <w:sz w:val="18"/>
                <w:szCs w:val="18"/>
              </w:rPr>
              <w:t xml:space="preserve"> - $ 63,680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FFFFFF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people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41,658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$ 54,600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people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58,492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$ 72,800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bedroom</w:t>
            </w: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shd w:val="clear" w:color="auto" w:fill="DAEEF3" w:themeFill="accent5" w:themeFillTint="33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1,366</w:t>
            </w:r>
          </w:p>
        </w:tc>
        <w:tc>
          <w:tcPr>
            <w:tcW w:w="720" w:type="dxa"/>
            <w:vMerge w:val="restart"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63</w:t>
            </w:r>
          </w:p>
        </w:tc>
        <w:tc>
          <w:tcPr>
            <w:tcW w:w="360" w:type="dxa"/>
            <w:vMerge w:val="restart"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people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D8522B" w:rsidRPr="00CA0E6E" w:rsidRDefault="00D8522B" w:rsidP="002C2E52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50,023</w:t>
            </w:r>
            <w:r w:rsidRPr="00CA0E6E">
              <w:rPr>
                <w:sz w:val="18"/>
                <w:szCs w:val="18"/>
              </w:rPr>
              <w:t xml:space="preserve"> - $ 54,600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shd w:val="clear" w:color="auto" w:fill="F2F2F2" w:themeFill="background1" w:themeFillShade="F2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$1,</w:t>
            </w:r>
            <w:r w:rsidR="00840075">
              <w:rPr>
                <w:sz w:val="18"/>
                <w:szCs w:val="18"/>
              </w:rPr>
              <w:t>955</w:t>
            </w: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22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2 people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2C2E52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70,218</w:t>
            </w:r>
            <w:r w:rsidRPr="00CA0E6E">
              <w:rPr>
                <w:sz w:val="18"/>
                <w:szCs w:val="18"/>
              </w:rPr>
              <w:t xml:space="preserve"> - $ 72,800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people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50,023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$ 61,440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people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70,218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$ 81,920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4 people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50,023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$ 68,220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4 people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70,218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$ 90,960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bedroom</w:t>
            </w: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shd w:val="clear" w:color="auto" w:fill="FFFFFF" w:themeFill="background1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1,570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15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people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8522B" w:rsidRPr="00CA0E6E" w:rsidRDefault="00D8522B" w:rsidP="002C2E52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57,772</w:t>
            </w:r>
            <w:r w:rsidRPr="00CA0E6E">
              <w:rPr>
                <w:sz w:val="18"/>
                <w:szCs w:val="18"/>
              </w:rPr>
              <w:t xml:space="preserve"> - $ 61,440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D8522B" w:rsidRPr="00CA0E6E" w:rsidRDefault="00D8522B" w:rsidP="00840075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$</w:t>
            </w:r>
            <w:r w:rsidR="00840075">
              <w:rPr>
                <w:sz w:val="18"/>
                <w:szCs w:val="18"/>
              </w:rPr>
              <w:t>2,250</w:t>
            </w:r>
          </w:p>
        </w:tc>
        <w:tc>
          <w:tcPr>
            <w:tcW w:w="630" w:type="dxa"/>
            <w:vMerge w:val="restart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</w:t>
            </w:r>
          </w:p>
        </w:tc>
        <w:tc>
          <w:tcPr>
            <w:tcW w:w="270" w:type="dxa"/>
            <w:vMerge w:val="restart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3 people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2C2E52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81,086</w:t>
            </w:r>
            <w:r w:rsidRPr="00CA0E6E">
              <w:rPr>
                <w:sz w:val="18"/>
                <w:szCs w:val="18"/>
              </w:rPr>
              <w:t xml:space="preserve"> - $ 81,920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4 people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57,772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$ 68,220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4 people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81,086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$ 90,960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5 people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57,772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$ 73,680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5 people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81,086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$ 98,240</w:t>
            </w:r>
          </w:p>
        </w:tc>
      </w:tr>
      <w:tr w:rsidR="005D0877" w:rsidRPr="00D8522B" w:rsidTr="00642598">
        <w:trPr>
          <w:trHeight w:hRule="exact" w:val="236"/>
        </w:trPr>
        <w:tc>
          <w:tcPr>
            <w:tcW w:w="990" w:type="dxa"/>
            <w:vMerge/>
            <w:shd w:val="clear" w:color="auto" w:fill="auto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shd w:val="clear" w:color="auto" w:fill="DAEEF3" w:themeFill="accent5" w:themeFillTint="33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6 people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57,772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$ 79,140</w:t>
            </w:r>
          </w:p>
        </w:tc>
        <w:tc>
          <w:tcPr>
            <w:tcW w:w="545" w:type="dxa"/>
            <w:vMerge/>
            <w:shd w:val="clear" w:color="auto" w:fill="F2F2F2" w:themeFill="background1" w:themeFillShade="F2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D8522B" w:rsidRPr="00CA0E6E" w:rsidRDefault="00D8522B" w:rsidP="00D8522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D8522B" w:rsidRPr="00CA0E6E" w:rsidRDefault="00D8522B" w:rsidP="00D8522B">
            <w:pPr>
              <w:pStyle w:val="Default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>6 people</w:t>
            </w:r>
          </w:p>
        </w:tc>
        <w:tc>
          <w:tcPr>
            <w:tcW w:w="1983" w:type="dxa"/>
            <w:vAlign w:val="center"/>
          </w:tcPr>
          <w:p w:rsidR="00D8522B" w:rsidRPr="00CA0E6E" w:rsidRDefault="00D8522B" w:rsidP="00642598">
            <w:pPr>
              <w:pStyle w:val="Default"/>
              <w:jc w:val="center"/>
              <w:rPr>
                <w:sz w:val="18"/>
                <w:szCs w:val="18"/>
              </w:rPr>
            </w:pPr>
            <w:r w:rsidRPr="00CA0E6E">
              <w:rPr>
                <w:sz w:val="18"/>
                <w:szCs w:val="18"/>
              </w:rPr>
              <w:t xml:space="preserve">$ </w:t>
            </w:r>
            <w:r w:rsidR="002C2E52">
              <w:rPr>
                <w:sz w:val="18"/>
                <w:szCs w:val="18"/>
              </w:rPr>
              <w:t>81,086</w:t>
            </w:r>
            <w:r w:rsidR="002C2E52" w:rsidRPr="00CA0E6E">
              <w:rPr>
                <w:sz w:val="18"/>
                <w:szCs w:val="18"/>
              </w:rPr>
              <w:t xml:space="preserve"> </w:t>
            </w:r>
            <w:r w:rsidRPr="00CA0E6E">
              <w:rPr>
                <w:sz w:val="18"/>
                <w:szCs w:val="18"/>
              </w:rPr>
              <w:t>- $ 105,520</w:t>
            </w:r>
          </w:p>
        </w:tc>
      </w:tr>
    </w:tbl>
    <w:p w:rsidR="00CA0E6E" w:rsidRPr="00CA0E6E" w:rsidRDefault="00CA0E6E" w:rsidP="005D0877">
      <w:pPr>
        <w:pStyle w:val="Default"/>
        <w:ind w:left="-180"/>
        <w:jc w:val="both"/>
        <w:rPr>
          <w:sz w:val="18"/>
          <w:szCs w:val="18"/>
        </w:rPr>
      </w:pPr>
      <w:proofErr w:type="gramStart"/>
      <w:r w:rsidRPr="00CA0E6E">
        <w:rPr>
          <w:sz w:val="18"/>
          <w:szCs w:val="18"/>
          <w:vertAlign w:val="superscript"/>
        </w:rPr>
        <w:t>1</w:t>
      </w:r>
      <w:proofErr w:type="gramEnd"/>
      <w:r w:rsidRPr="00CA0E6E">
        <w:rPr>
          <w:sz w:val="18"/>
          <w:szCs w:val="18"/>
        </w:rPr>
        <w:t xml:space="preserve"> Rent includes gas for cooking and heating.  Tenant is responsible for electricity </w:t>
      </w:r>
    </w:p>
    <w:p w:rsidR="00CA0E6E" w:rsidRPr="00CA0E6E" w:rsidRDefault="00CA0E6E" w:rsidP="005D0877">
      <w:pPr>
        <w:pStyle w:val="Default"/>
        <w:ind w:left="-180"/>
        <w:jc w:val="both"/>
        <w:rPr>
          <w:sz w:val="18"/>
          <w:szCs w:val="18"/>
        </w:rPr>
      </w:pPr>
      <w:proofErr w:type="gramStart"/>
      <w:r w:rsidRPr="00CA0E6E">
        <w:rPr>
          <w:sz w:val="18"/>
          <w:szCs w:val="18"/>
          <w:vertAlign w:val="superscript"/>
        </w:rPr>
        <w:t>2</w:t>
      </w:r>
      <w:proofErr w:type="gramEnd"/>
      <w:r w:rsidRPr="00CA0E6E">
        <w:rPr>
          <w:sz w:val="18"/>
          <w:szCs w:val="18"/>
        </w:rPr>
        <w:t xml:space="preserve"> Household size includes everyone who will live with you, including parents and children. Subject to occupancy criteria.</w:t>
      </w:r>
    </w:p>
    <w:p w:rsidR="00CA0E6E" w:rsidRPr="00CA0E6E" w:rsidRDefault="00CA0E6E" w:rsidP="005D0877">
      <w:pPr>
        <w:pStyle w:val="Default"/>
        <w:ind w:left="-180"/>
        <w:jc w:val="both"/>
        <w:rPr>
          <w:sz w:val="18"/>
          <w:szCs w:val="18"/>
        </w:rPr>
      </w:pPr>
      <w:proofErr w:type="gramStart"/>
      <w:r w:rsidRPr="00CA0E6E">
        <w:rPr>
          <w:sz w:val="18"/>
          <w:szCs w:val="18"/>
          <w:vertAlign w:val="superscript"/>
        </w:rPr>
        <w:t>3</w:t>
      </w:r>
      <w:proofErr w:type="gramEnd"/>
      <w:r w:rsidRPr="00CA0E6E">
        <w:rPr>
          <w:sz w:val="18"/>
          <w:szCs w:val="18"/>
        </w:rPr>
        <w:t xml:space="preserve"> Household earnings includes salary, hourly wages, tips, Social Security, child support, and other income</w:t>
      </w:r>
      <w:r w:rsidRPr="00CA0E6E">
        <w:rPr>
          <w:sz w:val="18"/>
          <w:szCs w:val="18"/>
        </w:rPr>
        <w:softHyphen/>
      </w:r>
      <w:r w:rsidRPr="00CA0E6E">
        <w:rPr>
          <w:sz w:val="18"/>
          <w:szCs w:val="18"/>
        </w:rPr>
        <w:softHyphen/>
      </w:r>
      <w:r w:rsidRPr="00CA0E6E">
        <w:rPr>
          <w:sz w:val="18"/>
          <w:szCs w:val="18"/>
        </w:rPr>
        <w:softHyphen/>
        <w:t>. Income guidelines subject to change.</w:t>
      </w:r>
    </w:p>
    <w:p w:rsidR="00CA0E6E" w:rsidRPr="00CA0E6E" w:rsidRDefault="00CA0E6E" w:rsidP="005D0877">
      <w:pPr>
        <w:pStyle w:val="Default"/>
        <w:ind w:left="-180"/>
        <w:jc w:val="both"/>
        <w:rPr>
          <w:sz w:val="18"/>
          <w:szCs w:val="18"/>
        </w:rPr>
      </w:pPr>
      <w:proofErr w:type="gramStart"/>
      <w:r w:rsidRPr="00CA0E6E">
        <w:rPr>
          <w:sz w:val="18"/>
          <w:szCs w:val="18"/>
          <w:vertAlign w:val="superscript"/>
        </w:rPr>
        <w:t>4</w:t>
      </w:r>
      <w:proofErr w:type="gramEnd"/>
      <w:r w:rsidRPr="00CA0E6E">
        <w:rPr>
          <w:sz w:val="18"/>
          <w:szCs w:val="18"/>
        </w:rPr>
        <w:t xml:space="preserve"> Minimum income listed may not apply to applicants with Section 8 or other qualifying rental subsidies. </w:t>
      </w:r>
    </w:p>
    <w:p w:rsidR="00CA0E6E" w:rsidRPr="00CA0E6E" w:rsidRDefault="00CA0E6E" w:rsidP="00CA0E6E">
      <w:pPr>
        <w:pStyle w:val="Default"/>
        <w:ind w:left="-270"/>
        <w:jc w:val="both"/>
        <w:rPr>
          <w:sz w:val="18"/>
          <w:szCs w:val="18"/>
        </w:rPr>
      </w:pPr>
    </w:p>
    <w:p w:rsidR="00F732E8" w:rsidRDefault="00F732E8" w:rsidP="005D0877">
      <w:pPr>
        <w:pStyle w:val="Default"/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Qualified Applicants will be required to meet income guidelines and additional selection criteria. To request an application, </w:t>
      </w:r>
      <w:r>
        <w:rPr>
          <w:b/>
          <w:bCs/>
          <w:sz w:val="20"/>
          <w:szCs w:val="20"/>
        </w:rPr>
        <w:t xml:space="preserve">mail a POSTCARD </w:t>
      </w:r>
      <w:r w:rsidR="00E82467">
        <w:rPr>
          <w:b/>
          <w:bCs/>
          <w:sz w:val="20"/>
          <w:szCs w:val="20"/>
        </w:rPr>
        <w:t xml:space="preserve">or a SELF-ADDRESSED ENVELOPE </w:t>
      </w:r>
      <w:proofErr w:type="gramStart"/>
      <w:r>
        <w:rPr>
          <w:b/>
          <w:bCs/>
          <w:sz w:val="20"/>
          <w:szCs w:val="20"/>
        </w:rPr>
        <w:t>to:</w:t>
      </w:r>
      <w:proofErr w:type="gramEnd"/>
      <w:r>
        <w:rPr>
          <w:b/>
          <w:bCs/>
          <w:sz w:val="20"/>
          <w:szCs w:val="20"/>
        </w:rPr>
        <w:t xml:space="preserve"> </w:t>
      </w:r>
      <w:r w:rsidR="007F2E00">
        <w:rPr>
          <w:b/>
          <w:bCs/>
          <w:sz w:val="20"/>
          <w:szCs w:val="20"/>
        </w:rPr>
        <w:t>Fountain Seaview</w:t>
      </w:r>
      <w:r w:rsidR="00C938F4">
        <w:rPr>
          <w:b/>
          <w:bCs/>
          <w:sz w:val="20"/>
          <w:szCs w:val="20"/>
        </w:rPr>
        <w:t xml:space="preserve"> LP</w:t>
      </w:r>
      <w:r w:rsidR="007F2E00">
        <w:rPr>
          <w:b/>
          <w:bCs/>
          <w:sz w:val="20"/>
          <w:szCs w:val="20"/>
        </w:rPr>
        <w:t xml:space="preserve"> – </w:t>
      </w:r>
      <w:r w:rsidR="00716BD6">
        <w:rPr>
          <w:b/>
          <w:bCs/>
          <w:sz w:val="20"/>
          <w:szCs w:val="20"/>
        </w:rPr>
        <w:t>B</w:t>
      </w:r>
      <w:r w:rsidR="004E29A6">
        <w:rPr>
          <w:b/>
          <w:bCs/>
          <w:sz w:val="20"/>
          <w:szCs w:val="20"/>
        </w:rPr>
        <w:t>6</w:t>
      </w:r>
      <w:r w:rsidR="005A3C0C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7F2E00">
        <w:rPr>
          <w:b/>
          <w:bCs/>
          <w:sz w:val="20"/>
          <w:szCs w:val="20"/>
        </w:rPr>
        <w:t>1044 Northern Blvd. – 2</w:t>
      </w:r>
      <w:r w:rsidR="007F2E00" w:rsidRPr="007F2E00">
        <w:rPr>
          <w:b/>
          <w:bCs/>
          <w:sz w:val="20"/>
          <w:szCs w:val="20"/>
          <w:vertAlign w:val="superscript"/>
        </w:rPr>
        <w:t>nd</w:t>
      </w:r>
      <w:r w:rsidR="007F2E00">
        <w:rPr>
          <w:b/>
          <w:bCs/>
          <w:sz w:val="20"/>
          <w:szCs w:val="20"/>
        </w:rPr>
        <w:t xml:space="preserve"> </w:t>
      </w:r>
      <w:proofErr w:type="spellStart"/>
      <w:r w:rsidR="007F2E00">
        <w:rPr>
          <w:b/>
          <w:bCs/>
          <w:sz w:val="20"/>
          <w:szCs w:val="20"/>
        </w:rPr>
        <w:t>Fl</w:t>
      </w:r>
      <w:proofErr w:type="spellEnd"/>
      <w:r w:rsidR="009A63A0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7F2E00">
        <w:rPr>
          <w:b/>
          <w:bCs/>
          <w:sz w:val="20"/>
          <w:szCs w:val="20"/>
        </w:rPr>
        <w:t>Roslyn</w:t>
      </w:r>
      <w:r>
        <w:rPr>
          <w:b/>
          <w:bCs/>
          <w:sz w:val="20"/>
          <w:szCs w:val="20"/>
        </w:rPr>
        <w:t xml:space="preserve">, New York </w:t>
      </w:r>
      <w:r w:rsidR="009B531F">
        <w:rPr>
          <w:b/>
          <w:bCs/>
          <w:sz w:val="20"/>
          <w:szCs w:val="20"/>
        </w:rPr>
        <w:t>11</w:t>
      </w:r>
      <w:r w:rsidR="007F2E00">
        <w:rPr>
          <w:b/>
          <w:bCs/>
          <w:sz w:val="20"/>
          <w:szCs w:val="20"/>
        </w:rPr>
        <w:t>576</w:t>
      </w:r>
      <w:r>
        <w:rPr>
          <w:b/>
          <w:bCs/>
          <w:sz w:val="20"/>
          <w:szCs w:val="20"/>
        </w:rPr>
        <w:t xml:space="preserve">. </w:t>
      </w:r>
      <w:r w:rsidR="000C19D3">
        <w:rPr>
          <w:b/>
          <w:bCs/>
          <w:sz w:val="20"/>
          <w:szCs w:val="20"/>
        </w:rPr>
        <w:t xml:space="preserve">An application </w:t>
      </w:r>
      <w:proofErr w:type="gramStart"/>
      <w:r w:rsidR="000C19D3">
        <w:rPr>
          <w:b/>
          <w:bCs/>
          <w:sz w:val="20"/>
          <w:szCs w:val="20"/>
        </w:rPr>
        <w:t>can also be requested</w:t>
      </w:r>
      <w:proofErr w:type="gramEnd"/>
      <w:r w:rsidR="000C19D3">
        <w:rPr>
          <w:b/>
          <w:bCs/>
          <w:sz w:val="20"/>
          <w:szCs w:val="20"/>
        </w:rPr>
        <w:t xml:space="preserve"> via email at </w:t>
      </w:r>
      <w:hyperlink r:id="rId7" w:history="1">
        <w:r w:rsidR="000C19D3" w:rsidRPr="00B137D4">
          <w:rPr>
            <w:rStyle w:val="Hyperlink"/>
            <w:b/>
            <w:bCs/>
            <w:sz w:val="20"/>
            <w:szCs w:val="20"/>
          </w:rPr>
          <w:t>b6lottery@progressivemgmt.net</w:t>
        </w:r>
      </w:hyperlink>
      <w:r w:rsidR="000C19D3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Completed applications must be returned by </w:t>
      </w:r>
      <w:r w:rsidRPr="00DB4348">
        <w:rPr>
          <w:b/>
          <w:bCs/>
          <w:sz w:val="20"/>
          <w:szCs w:val="20"/>
          <w:u w:val="single"/>
        </w:rPr>
        <w:t>regular mail only</w:t>
      </w:r>
      <w:r>
        <w:rPr>
          <w:b/>
          <w:bCs/>
          <w:sz w:val="20"/>
          <w:szCs w:val="20"/>
        </w:rPr>
        <w:t xml:space="preserve"> (no priority, certified, registered, </w:t>
      </w:r>
      <w:proofErr w:type="gramStart"/>
      <w:r>
        <w:rPr>
          <w:b/>
          <w:bCs/>
          <w:sz w:val="20"/>
          <w:szCs w:val="20"/>
        </w:rPr>
        <w:t>express</w:t>
      </w:r>
      <w:proofErr w:type="gramEnd"/>
      <w:r>
        <w:rPr>
          <w:b/>
          <w:bCs/>
          <w:sz w:val="20"/>
          <w:szCs w:val="20"/>
        </w:rPr>
        <w:t xml:space="preserve"> or overnight mail will be accepted) to a post office box number that will be listed on the application, and must be postmarked by </w:t>
      </w:r>
      <w:r w:rsidR="000C19D3">
        <w:rPr>
          <w:b/>
          <w:bCs/>
          <w:sz w:val="20"/>
          <w:szCs w:val="20"/>
          <w:u w:val="single"/>
        </w:rPr>
        <w:t>Dec</w:t>
      </w:r>
      <w:r w:rsidR="004E29A6">
        <w:rPr>
          <w:b/>
          <w:bCs/>
          <w:sz w:val="20"/>
          <w:szCs w:val="20"/>
          <w:u w:val="single"/>
        </w:rPr>
        <w:t>embe</w:t>
      </w:r>
      <w:r w:rsidR="006B2C8F">
        <w:rPr>
          <w:b/>
          <w:bCs/>
          <w:sz w:val="20"/>
          <w:szCs w:val="20"/>
          <w:u w:val="single"/>
        </w:rPr>
        <w:t>r</w:t>
      </w:r>
      <w:r w:rsidR="004B69C1">
        <w:rPr>
          <w:b/>
          <w:bCs/>
          <w:sz w:val="20"/>
          <w:szCs w:val="20"/>
          <w:u w:val="single"/>
        </w:rPr>
        <w:t xml:space="preserve"> </w:t>
      </w:r>
      <w:r w:rsidR="005B1346">
        <w:rPr>
          <w:b/>
          <w:bCs/>
          <w:sz w:val="20"/>
          <w:szCs w:val="20"/>
          <w:u w:val="single"/>
        </w:rPr>
        <w:t>28</w:t>
      </w:r>
      <w:r w:rsidR="00CB632C">
        <w:rPr>
          <w:b/>
          <w:bCs/>
          <w:sz w:val="20"/>
          <w:szCs w:val="20"/>
          <w:u w:val="single"/>
        </w:rPr>
        <w:t>, 20</w:t>
      </w:r>
      <w:r w:rsidR="00716BD6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 xml:space="preserve">Applications postmarked after </w:t>
      </w:r>
      <w:r w:rsidR="000C19D3">
        <w:rPr>
          <w:sz w:val="20"/>
          <w:szCs w:val="20"/>
        </w:rPr>
        <w:t>Dec</w:t>
      </w:r>
      <w:r w:rsidR="004E29A6">
        <w:rPr>
          <w:sz w:val="20"/>
          <w:szCs w:val="20"/>
        </w:rPr>
        <w:t>ember</w:t>
      </w:r>
      <w:r w:rsidR="00716BD6">
        <w:rPr>
          <w:sz w:val="20"/>
          <w:szCs w:val="20"/>
        </w:rPr>
        <w:t xml:space="preserve"> </w:t>
      </w:r>
      <w:r w:rsidR="005B1346">
        <w:rPr>
          <w:sz w:val="20"/>
          <w:szCs w:val="20"/>
        </w:rPr>
        <w:t>28</w:t>
      </w:r>
      <w:r w:rsidR="004B69C1">
        <w:rPr>
          <w:sz w:val="20"/>
          <w:szCs w:val="20"/>
        </w:rPr>
        <w:t>, 20</w:t>
      </w:r>
      <w:r w:rsidR="00716BD6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will be set</w:t>
      </w:r>
      <w:proofErr w:type="gramEnd"/>
      <w:r>
        <w:rPr>
          <w:sz w:val="20"/>
          <w:szCs w:val="20"/>
        </w:rPr>
        <w:t xml:space="preserve"> aside for possible future consideration. Applications </w:t>
      </w:r>
      <w:proofErr w:type="gramStart"/>
      <w:r>
        <w:rPr>
          <w:sz w:val="20"/>
          <w:szCs w:val="20"/>
        </w:rPr>
        <w:t>will be selected</w:t>
      </w:r>
      <w:proofErr w:type="gramEnd"/>
      <w:r>
        <w:rPr>
          <w:sz w:val="20"/>
          <w:szCs w:val="20"/>
        </w:rPr>
        <w:t xml:space="preserve"> by lottery; </w:t>
      </w:r>
      <w:r w:rsidR="00AC3CAA">
        <w:rPr>
          <w:sz w:val="20"/>
          <w:szCs w:val="20"/>
        </w:rPr>
        <w:t>A</w:t>
      </w:r>
      <w:r>
        <w:rPr>
          <w:sz w:val="20"/>
          <w:szCs w:val="20"/>
        </w:rPr>
        <w:t>pplicants who submit more than one application will be disqualified. D</w:t>
      </w:r>
      <w:r w:rsidR="00E25745">
        <w:rPr>
          <w:sz w:val="20"/>
          <w:szCs w:val="20"/>
        </w:rPr>
        <w:t>uplicated</w:t>
      </w:r>
      <w:r>
        <w:rPr>
          <w:sz w:val="20"/>
          <w:szCs w:val="20"/>
        </w:rPr>
        <w:t xml:space="preserve"> applications </w:t>
      </w:r>
      <w:proofErr w:type="gramStart"/>
      <w:r>
        <w:rPr>
          <w:sz w:val="20"/>
          <w:szCs w:val="20"/>
        </w:rPr>
        <w:t>will not be accepted</w:t>
      </w:r>
      <w:proofErr w:type="gramEnd"/>
      <w:r>
        <w:rPr>
          <w:sz w:val="20"/>
          <w:szCs w:val="20"/>
        </w:rPr>
        <w:t xml:space="preserve">. A general preference </w:t>
      </w:r>
      <w:proofErr w:type="gramStart"/>
      <w:r>
        <w:rPr>
          <w:sz w:val="20"/>
          <w:szCs w:val="20"/>
        </w:rPr>
        <w:t>will be given</w:t>
      </w:r>
      <w:proofErr w:type="gramEnd"/>
      <w:r>
        <w:rPr>
          <w:sz w:val="20"/>
          <w:szCs w:val="20"/>
        </w:rPr>
        <w:t xml:space="preserve"> to New York City residents. </w:t>
      </w:r>
      <w:r w:rsidR="00DD1439">
        <w:rPr>
          <w:sz w:val="20"/>
          <w:szCs w:val="20"/>
        </w:rPr>
        <w:t>Units will be available pursuant to the Fair Housing Act’s equal opportunity and accessibility requirements and the accessibility requirements of Section 504 of the Rehabilitation Act.</w:t>
      </w:r>
      <w:r w:rsidR="00A25407">
        <w:rPr>
          <w:sz w:val="20"/>
          <w:szCs w:val="20"/>
        </w:rPr>
        <w:t xml:space="preserve"> The project </w:t>
      </w:r>
      <w:proofErr w:type="gramStart"/>
      <w:r w:rsidR="00A25407">
        <w:rPr>
          <w:sz w:val="20"/>
          <w:szCs w:val="20"/>
        </w:rPr>
        <w:t>will be posted</w:t>
      </w:r>
      <w:proofErr w:type="gramEnd"/>
      <w:r w:rsidR="00A25407">
        <w:rPr>
          <w:sz w:val="20"/>
          <w:szCs w:val="20"/>
        </w:rPr>
        <w:t xml:space="preserve"> on </w:t>
      </w:r>
      <w:r w:rsidR="00A25407" w:rsidRPr="00436492">
        <w:rPr>
          <w:b/>
          <w:i/>
          <w:sz w:val="20"/>
          <w:szCs w:val="20"/>
        </w:rPr>
        <w:t>NYHousingSearch.gov</w:t>
      </w:r>
      <w:r w:rsidR="00A25407">
        <w:rPr>
          <w:sz w:val="20"/>
          <w:szCs w:val="20"/>
        </w:rPr>
        <w:t xml:space="preserve"> and is a </w:t>
      </w:r>
      <w:r w:rsidR="00A25407" w:rsidRPr="00A25407">
        <w:rPr>
          <w:b/>
          <w:i/>
          <w:sz w:val="20"/>
          <w:szCs w:val="20"/>
        </w:rPr>
        <w:t>100% Smoke Free</w:t>
      </w:r>
      <w:r w:rsidR="00A25407">
        <w:rPr>
          <w:sz w:val="20"/>
          <w:szCs w:val="20"/>
        </w:rPr>
        <w:t xml:space="preserve"> property.</w:t>
      </w:r>
    </w:p>
    <w:p w:rsidR="00074554" w:rsidRDefault="00074554" w:rsidP="005D0877">
      <w:pPr>
        <w:pStyle w:val="Default"/>
        <w:ind w:left="-180"/>
        <w:jc w:val="both"/>
        <w:rPr>
          <w:sz w:val="20"/>
          <w:szCs w:val="20"/>
        </w:rPr>
      </w:pPr>
    </w:p>
    <w:p w:rsidR="00074554" w:rsidRDefault="00074554" w:rsidP="005D0877">
      <w:pPr>
        <w:pStyle w:val="Default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LOTTERY </w:t>
      </w:r>
      <w:proofErr w:type="gramStart"/>
      <w:r w:rsidR="005D0877">
        <w:rPr>
          <w:sz w:val="20"/>
          <w:szCs w:val="20"/>
        </w:rPr>
        <w:t>will be held</w:t>
      </w:r>
      <w:proofErr w:type="gramEnd"/>
      <w:r>
        <w:rPr>
          <w:sz w:val="20"/>
          <w:szCs w:val="20"/>
        </w:rPr>
        <w:t xml:space="preserve"> VIA LIVESTREAM </w:t>
      </w:r>
      <w:r w:rsidR="005D0877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="005B1346">
        <w:rPr>
          <w:sz w:val="20"/>
          <w:szCs w:val="20"/>
        </w:rPr>
        <w:t>January 5</w:t>
      </w:r>
      <w:r w:rsidR="00D33320">
        <w:rPr>
          <w:sz w:val="20"/>
          <w:szCs w:val="20"/>
        </w:rPr>
        <w:t>, 202</w:t>
      </w:r>
      <w:r w:rsidR="005B1346">
        <w:rPr>
          <w:sz w:val="20"/>
          <w:szCs w:val="20"/>
        </w:rPr>
        <w:t>1</w:t>
      </w:r>
      <w:r w:rsidR="00D33320">
        <w:rPr>
          <w:sz w:val="20"/>
          <w:szCs w:val="20"/>
        </w:rPr>
        <w:t xml:space="preserve">. Please visit </w:t>
      </w:r>
      <w:r w:rsidR="00B03405">
        <w:rPr>
          <w:sz w:val="20"/>
          <w:szCs w:val="20"/>
        </w:rPr>
        <w:t>our page on December 3</w:t>
      </w:r>
      <w:r w:rsidR="005B1346">
        <w:rPr>
          <w:sz w:val="20"/>
          <w:szCs w:val="20"/>
        </w:rPr>
        <w:t>0</w:t>
      </w:r>
      <w:r w:rsidR="00B03405">
        <w:rPr>
          <w:sz w:val="20"/>
          <w:szCs w:val="20"/>
        </w:rPr>
        <w:t xml:space="preserve">, 2020 for further details: </w:t>
      </w:r>
      <w:hyperlink r:id="rId8" w:history="1">
        <w:r w:rsidR="00636C6A" w:rsidRPr="00636C6A">
          <w:rPr>
            <w:rStyle w:val="Hyperlink"/>
            <w:sz w:val="20"/>
            <w:szCs w:val="20"/>
          </w:rPr>
          <w:t>https://www.facebook.com/PROGRESSIVEMANAGEMENTOFNY/</w:t>
        </w:r>
      </w:hyperlink>
      <w:r w:rsidR="00D33320">
        <w:rPr>
          <w:sz w:val="20"/>
          <w:szCs w:val="20"/>
        </w:rPr>
        <w:t>.</w:t>
      </w:r>
    </w:p>
    <w:p w:rsidR="00943AE9" w:rsidRDefault="00943AE9" w:rsidP="005A3C0C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3F1C4C" w:rsidRDefault="003F1C4C" w:rsidP="003F1C4C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 Broker’s Fee. No Application Fee.</w:t>
      </w:r>
    </w:p>
    <w:p w:rsidR="005A3C0C" w:rsidRDefault="00642598" w:rsidP="005D0877">
      <w:pPr>
        <w:pStyle w:val="Default"/>
        <w:tabs>
          <w:tab w:val="left" w:pos="1185"/>
        </w:tabs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  <w:r w:rsidR="00A87C74">
        <w:rPr>
          <w:b/>
          <w:bCs/>
          <w:sz w:val="20"/>
          <w:szCs w:val="20"/>
        </w:rPr>
        <w:t>ANDREW M. CUOMO, GOVERN</w:t>
      </w:r>
      <w:r w:rsidR="00673C7D">
        <w:rPr>
          <w:b/>
          <w:bCs/>
          <w:sz w:val="20"/>
          <w:szCs w:val="20"/>
        </w:rPr>
        <w:t>O</w:t>
      </w:r>
      <w:r w:rsidR="00A87C74">
        <w:rPr>
          <w:b/>
          <w:bCs/>
          <w:sz w:val="20"/>
          <w:szCs w:val="20"/>
        </w:rPr>
        <w:t xml:space="preserve">R                                            </w:t>
      </w:r>
      <w:r w:rsidR="005D0877"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        </w:t>
      </w:r>
      <w:r w:rsidR="0049638A">
        <w:rPr>
          <w:b/>
          <w:bCs/>
          <w:sz w:val="20"/>
          <w:szCs w:val="20"/>
        </w:rPr>
        <w:t>BILL de BLASIO</w:t>
      </w:r>
      <w:r w:rsidR="005A3C0C">
        <w:rPr>
          <w:b/>
          <w:bCs/>
          <w:sz w:val="20"/>
          <w:szCs w:val="20"/>
        </w:rPr>
        <w:t>, Mayor</w:t>
      </w:r>
    </w:p>
    <w:p w:rsidR="00A87C74" w:rsidRDefault="00A87C74" w:rsidP="00A87C74">
      <w:pPr>
        <w:pStyle w:val="Default"/>
        <w:tabs>
          <w:tab w:val="left" w:pos="1215"/>
          <w:tab w:val="center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New York State Homes and Community Renewal</w:t>
      </w:r>
    </w:p>
    <w:p w:rsidR="00A87C74" w:rsidRPr="00C63B4B" w:rsidRDefault="00004E9A" w:rsidP="00A87C74">
      <w:pPr>
        <w:pStyle w:val="Default"/>
        <w:tabs>
          <w:tab w:val="left" w:pos="1215"/>
          <w:tab w:val="center" w:pos="4680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RuthAnne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Visnauskas</w:t>
      </w:r>
      <w:proofErr w:type="spellEnd"/>
      <w:r w:rsidR="00A87C74" w:rsidRPr="00C63B4B">
        <w:rPr>
          <w:b/>
          <w:sz w:val="20"/>
          <w:szCs w:val="20"/>
        </w:rPr>
        <w:t>, Commissioner/CEO</w:t>
      </w:r>
    </w:p>
    <w:p w:rsidR="00C63B4B" w:rsidRDefault="00C63B4B" w:rsidP="00A87C74">
      <w:pPr>
        <w:pStyle w:val="Default"/>
        <w:tabs>
          <w:tab w:val="left" w:pos="1215"/>
          <w:tab w:val="center" w:pos="4680"/>
        </w:tabs>
        <w:jc w:val="center"/>
        <w:rPr>
          <w:sz w:val="20"/>
          <w:szCs w:val="20"/>
        </w:rPr>
      </w:pPr>
    </w:p>
    <w:p w:rsidR="00A87C74" w:rsidRDefault="00305554" w:rsidP="00B03405">
      <w:pPr>
        <w:pStyle w:val="Default"/>
        <w:tabs>
          <w:tab w:val="left" w:pos="1215"/>
          <w:tab w:val="center" w:pos="4680"/>
        </w:tabs>
        <w:jc w:val="center"/>
        <w:rPr>
          <w:rStyle w:val="Hyperlink"/>
          <w:b/>
          <w:sz w:val="20"/>
          <w:szCs w:val="20"/>
        </w:rPr>
      </w:pPr>
      <w:hyperlink r:id="rId9" w:history="1">
        <w:r w:rsidR="009C78D1" w:rsidRPr="006C108B">
          <w:rPr>
            <w:rStyle w:val="Hyperlink"/>
            <w:b/>
            <w:sz w:val="20"/>
            <w:szCs w:val="20"/>
          </w:rPr>
          <w:t>www.nyc.gov/housing</w:t>
        </w:r>
      </w:hyperlink>
    </w:p>
    <w:p w:rsidR="00A87C74" w:rsidRDefault="00305554" w:rsidP="00B03405">
      <w:pPr>
        <w:pStyle w:val="Default"/>
        <w:jc w:val="center"/>
        <w:rPr>
          <w:b/>
          <w:sz w:val="20"/>
          <w:szCs w:val="20"/>
        </w:rPr>
      </w:pPr>
      <w:hyperlink r:id="rId10" w:history="1">
        <w:r w:rsidR="001322AA" w:rsidRPr="00D755CB">
          <w:rPr>
            <w:rStyle w:val="Hyperlink"/>
            <w:b/>
            <w:sz w:val="20"/>
            <w:szCs w:val="20"/>
          </w:rPr>
          <w:t>www.nyshcr.org</w:t>
        </w:r>
      </w:hyperlink>
      <w:r w:rsidR="00642598">
        <w:rPr>
          <w:noProof/>
        </w:rPr>
        <w:drawing>
          <wp:anchor distT="0" distB="0" distL="114300" distR="114300" simplePos="0" relativeHeight="251658240" behindDoc="0" locked="0" layoutInCell="1" allowOverlap="1" wp14:anchorId="237FAF5B" wp14:editId="7476FA77">
            <wp:simplePos x="0" y="0"/>
            <wp:positionH relativeFrom="margin">
              <wp:posOffset>657225</wp:posOffset>
            </wp:positionH>
            <wp:positionV relativeFrom="margin">
              <wp:posOffset>9078595</wp:posOffset>
            </wp:positionV>
            <wp:extent cx="1562100" cy="369570"/>
            <wp:effectExtent l="0" t="0" r="0" b="0"/>
            <wp:wrapSquare wrapText="bothSides"/>
            <wp:docPr id="43" name="Picture 43" descr="C:\Users\ssmith\AppData\Local\Microsoft\Windows\Temporary Internet Files\Content.Outlook\CNNZUBDY\Homes and Community Renewal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ith\AppData\Local\Microsoft\Windows\Temporary Internet Files\Content.Outlook\CNNZUBDY\Homes and Community Renewal purp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7C74" w:rsidSect="00CA0E6E">
      <w:footerReference w:type="default" r:id="rId12"/>
      <w:pgSz w:w="12240" w:h="15840"/>
      <w:pgMar w:top="45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77" w:rsidRDefault="005D0877" w:rsidP="005D0877">
      <w:pPr>
        <w:spacing w:after="0" w:line="240" w:lineRule="auto"/>
      </w:pPr>
      <w:r>
        <w:separator/>
      </w:r>
    </w:p>
  </w:endnote>
  <w:endnote w:type="continuationSeparator" w:id="0">
    <w:p w:rsidR="005D0877" w:rsidRDefault="005D0877" w:rsidP="005D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98" w:rsidRDefault="0064259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-95885</wp:posOffset>
          </wp:positionV>
          <wp:extent cx="292735" cy="335280"/>
          <wp:effectExtent l="0" t="0" r="0" b="7620"/>
          <wp:wrapThrough wrapText="bothSides">
            <wp:wrapPolygon edited="0">
              <wp:start x="0" y="0"/>
              <wp:lineTo x="0" y="20864"/>
              <wp:lineTo x="19679" y="20864"/>
              <wp:lineTo x="1967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5915025</wp:posOffset>
          </wp:positionH>
          <wp:positionV relativeFrom="paragraph">
            <wp:posOffset>-95885</wp:posOffset>
          </wp:positionV>
          <wp:extent cx="335280" cy="335280"/>
          <wp:effectExtent l="0" t="0" r="7620" b="7620"/>
          <wp:wrapThrough wrapText="bothSides">
            <wp:wrapPolygon edited="0">
              <wp:start x="3682" y="0"/>
              <wp:lineTo x="0" y="3682"/>
              <wp:lineTo x="0" y="15955"/>
              <wp:lineTo x="1227" y="19636"/>
              <wp:lineTo x="3682" y="20864"/>
              <wp:lineTo x="17182" y="20864"/>
              <wp:lineTo x="19636" y="19636"/>
              <wp:lineTo x="20864" y="15955"/>
              <wp:lineTo x="20864" y="3682"/>
              <wp:lineTo x="17182" y="0"/>
              <wp:lineTo x="368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-95885</wp:posOffset>
          </wp:positionV>
          <wp:extent cx="304800" cy="3232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77" w:rsidRDefault="005D0877" w:rsidP="005D0877">
      <w:pPr>
        <w:spacing w:after="0" w:line="240" w:lineRule="auto"/>
      </w:pPr>
      <w:r>
        <w:separator/>
      </w:r>
    </w:p>
  </w:footnote>
  <w:footnote w:type="continuationSeparator" w:id="0">
    <w:p w:rsidR="005D0877" w:rsidRDefault="005D0877" w:rsidP="005D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F"/>
    <w:rsid w:val="00004E9A"/>
    <w:rsid w:val="00006381"/>
    <w:rsid w:val="0006109E"/>
    <w:rsid w:val="00074554"/>
    <w:rsid w:val="00080A8D"/>
    <w:rsid w:val="00080CFF"/>
    <w:rsid w:val="0009416E"/>
    <w:rsid w:val="000C19D3"/>
    <w:rsid w:val="00115F8F"/>
    <w:rsid w:val="001322AA"/>
    <w:rsid w:val="00146DB4"/>
    <w:rsid w:val="001A534E"/>
    <w:rsid w:val="001B0A7C"/>
    <w:rsid w:val="001F199F"/>
    <w:rsid w:val="00213497"/>
    <w:rsid w:val="002714F3"/>
    <w:rsid w:val="00276AB0"/>
    <w:rsid w:val="00291EA2"/>
    <w:rsid w:val="002A0591"/>
    <w:rsid w:val="002B68D6"/>
    <w:rsid w:val="002B7C8A"/>
    <w:rsid w:val="002C2E52"/>
    <w:rsid w:val="002D1696"/>
    <w:rsid w:val="002D74D9"/>
    <w:rsid w:val="00305554"/>
    <w:rsid w:val="00317C27"/>
    <w:rsid w:val="003341CD"/>
    <w:rsid w:val="00343134"/>
    <w:rsid w:val="0035285E"/>
    <w:rsid w:val="0036705F"/>
    <w:rsid w:val="003B4F1D"/>
    <w:rsid w:val="003C414C"/>
    <w:rsid w:val="003F1C4C"/>
    <w:rsid w:val="00412C78"/>
    <w:rsid w:val="00436492"/>
    <w:rsid w:val="00446135"/>
    <w:rsid w:val="0046225A"/>
    <w:rsid w:val="00487637"/>
    <w:rsid w:val="0049638A"/>
    <w:rsid w:val="004B4DF9"/>
    <w:rsid w:val="004B688C"/>
    <w:rsid w:val="004B69C1"/>
    <w:rsid w:val="004C12F9"/>
    <w:rsid w:val="004E29A6"/>
    <w:rsid w:val="00512881"/>
    <w:rsid w:val="00542673"/>
    <w:rsid w:val="005A3C0C"/>
    <w:rsid w:val="005A7464"/>
    <w:rsid w:val="005A74DE"/>
    <w:rsid w:val="005B1346"/>
    <w:rsid w:val="005B3639"/>
    <w:rsid w:val="005D0877"/>
    <w:rsid w:val="00603441"/>
    <w:rsid w:val="006042EF"/>
    <w:rsid w:val="0063416A"/>
    <w:rsid w:val="00636C6A"/>
    <w:rsid w:val="00642598"/>
    <w:rsid w:val="00673C7D"/>
    <w:rsid w:val="006B2C8F"/>
    <w:rsid w:val="006C4D34"/>
    <w:rsid w:val="006D2D23"/>
    <w:rsid w:val="006E4974"/>
    <w:rsid w:val="006F56AD"/>
    <w:rsid w:val="00715976"/>
    <w:rsid w:val="00716BD6"/>
    <w:rsid w:val="00750007"/>
    <w:rsid w:val="007D2581"/>
    <w:rsid w:val="007D325C"/>
    <w:rsid w:val="007E1A78"/>
    <w:rsid w:val="007E6F02"/>
    <w:rsid w:val="007F2E00"/>
    <w:rsid w:val="008202F3"/>
    <w:rsid w:val="00840075"/>
    <w:rsid w:val="008808E5"/>
    <w:rsid w:val="008A7CC7"/>
    <w:rsid w:val="008B4E76"/>
    <w:rsid w:val="008E490E"/>
    <w:rsid w:val="008F75BD"/>
    <w:rsid w:val="00943AE9"/>
    <w:rsid w:val="009457A6"/>
    <w:rsid w:val="009612BA"/>
    <w:rsid w:val="00976B67"/>
    <w:rsid w:val="009965C2"/>
    <w:rsid w:val="009A63A0"/>
    <w:rsid w:val="009B531F"/>
    <w:rsid w:val="009C5340"/>
    <w:rsid w:val="009C78D1"/>
    <w:rsid w:val="009C7A8F"/>
    <w:rsid w:val="00A20147"/>
    <w:rsid w:val="00A25407"/>
    <w:rsid w:val="00A403EA"/>
    <w:rsid w:val="00A87C74"/>
    <w:rsid w:val="00AC27D5"/>
    <w:rsid w:val="00AC3CAA"/>
    <w:rsid w:val="00B03405"/>
    <w:rsid w:val="00B31467"/>
    <w:rsid w:val="00B3349A"/>
    <w:rsid w:val="00B61249"/>
    <w:rsid w:val="00B7662B"/>
    <w:rsid w:val="00B839AE"/>
    <w:rsid w:val="00B8465F"/>
    <w:rsid w:val="00B9105D"/>
    <w:rsid w:val="00BA6A3C"/>
    <w:rsid w:val="00C63B4B"/>
    <w:rsid w:val="00C938F4"/>
    <w:rsid w:val="00C956FB"/>
    <w:rsid w:val="00CA0E6E"/>
    <w:rsid w:val="00CB632C"/>
    <w:rsid w:val="00D01179"/>
    <w:rsid w:val="00D11241"/>
    <w:rsid w:val="00D327B5"/>
    <w:rsid w:val="00D33320"/>
    <w:rsid w:val="00D66E23"/>
    <w:rsid w:val="00D67A12"/>
    <w:rsid w:val="00D8522B"/>
    <w:rsid w:val="00D91C31"/>
    <w:rsid w:val="00DB4348"/>
    <w:rsid w:val="00DD1439"/>
    <w:rsid w:val="00E25745"/>
    <w:rsid w:val="00E75EBF"/>
    <w:rsid w:val="00E82467"/>
    <w:rsid w:val="00EA391A"/>
    <w:rsid w:val="00EB7777"/>
    <w:rsid w:val="00F069C4"/>
    <w:rsid w:val="00F52148"/>
    <w:rsid w:val="00F732E8"/>
    <w:rsid w:val="00F75A2D"/>
    <w:rsid w:val="00F84346"/>
    <w:rsid w:val="00F97DAB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A41BAB"/>
  <w15:docId w15:val="{F1A677C4-8F54-4C07-AF26-61BF8FA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C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77"/>
  </w:style>
  <w:style w:type="paragraph" w:styleId="Footer">
    <w:name w:val="footer"/>
    <w:basedOn w:val="Normal"/>
    <w:link w:val="FooterChar"/>
    <w:uiPriority w:val="99"/>
    <w:unhideWhenUsed/>
    <w:rsid w:val="005D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GRESSIVEMANAGEMENTOFN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6lottery@progressivemgmt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nyshc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c.gov/hous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CB91-448B-4A58-B959-9606C1A4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Arker Companies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jblanco</dc:creator>
  <cp:lastModifiedBy>Jeserica Blanco</cp:lastModifiedBy>
  <cp:revision>5</cp:revision>
  <cp:lastPrinted>2016-02-29T14:59:00Z</cp:lastPrinted>
  <dcterms:created xsi:type="dcterms:W3CDTF">2020-10-08T01:29:00Z</dcterms:created>
  <dcterms:modified xsi:type="dcterms:W3CDTF">2020-10-20T22:10:00Z</dcterms:modified>
</cp:coreProperties>
</file>