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662"/>
        <w:gridCol w:w="3500"/>
      </w:tblGrid>
      <w:tr w:rsidR="00507181" w14:paraId="4BAF9095" w14:textId="77777777" w:rsidTr="00F77ED5">
        <w:trPr>
          <w:trHeight w:val="1080"/>
        </w:trPr>
        <w:tc>
          <w:tcPr>
            <w:tcW w:w="11016" w:type="dxa"/>
            <w:gridSpan w:val="3"/>
          </w:tcPr>
          <w:p w14:paraId="4BAF9094" w14:textId="0B3D89EA" w:rsidR="00507181" w:rsidRDefault="00BE63F2">
            <w:r>
              <w:rPr>
                <w:noProof/>
              </w:rPr>
              <w:drawing>
                <wp:inline distT="0" distB="0" distL="0" distR="0" wp14:anchorId="52E08031" wp14:editId="6835F1E0">
                  <wp:extent cx="4907082" cy="707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mp; DHCR Grey_Layou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7082" cy="707108"/>
                          </a:xfrm>
                          <a:prstGeom prst="rect">
                            <a:avLst/>
                          </a:prstGeom>
                        </pic:spPr>
                      </pic:pic>
                    </a:graphicData>
                  </a:graphic>
                </wp:inline>
              </w:drawing>
            </w:r>
          </w:p>
        </w:tc>
      </w:tr>
      <w:tr w:rsidR="00FC432B" w:rsidRPr="00FC432B" w14:paraId="4BAF909C" w14:textId="77777777" w:rsidTr="00F77ED5">
        <w:trPr>
          <w:trHeight w:val="450"/>
        </w:trPr>
        <w:tc>
          <w:tcPr>
            <w:tcW w:w="3672" w:type="dxa"/>
            <w:vAlign w:val="center"/>
          </w:tcPr>
          <w:p w14:paraId="4BAF9096" w14:textId="4076D15F" w:rsidR="00507181" w:rsidRPr="00B10B3F" w:rsidRDefault="00507181" w:rsidP="00FC432B">
            <w:pPr>
              <w:spacing w:before="120" w:line="200" w:lineRule="exact"/>
              <w:rPr>
                <w:rFonts w:ascii="Arial" w:hAnsi="Arial" w:cs="Arial"/>
                <w:b/>
                <w:caps/>
                <w:noProof/>
                <w:color w:val="646569"/>
                <w:sz w:val="20"/>
              </w:rPr>
            </w:pPr>
            <w:r w:rsidRPr="00B10B3F">
              <w:rPr>
                <w:rFonts w:ascii="Arial" w:hAnsi="Arial" w:cs="Arial"/>
                <w:b/>
                <w:caps/>
                <w:noProof/>
                <w:color w:val="646569"/>
                <w:sz w:val="20"/>
              </w:rPr>
              <w:t>Andrew m</w:t>
            </w:r>
            <w:r w:rsidR="00037A77" w:rsidRPr="00B10B3F">
              <w:rPr>
                <w:rFonts w:ascii="Arial" w:hAnsi="Arial" w:cs="Arial"/>
                <w:b/>
                <w:noProof/>
                <w:color w:val="646569"/>
                <w:sz w:val="20"/>
              </w:rPr>
              <w:t xml:space="preserve">. </w:t>
            </w:r>
            <w:r w:rsidRPr="00B10B3F">
              <w:rPr>
                <w:rFonts w:ascii="Arial" w:hAnsi="Arial" w:cs="Arial"/>
                <w:b/>
                <w:caps/>
                <w:noProof/>
                <w:color w:val="646569"/>
                <w:sz w:val="20"/>
              </w:rPr>
              <w:t>cuomo</w:t>
            </w:r>
          </w:p>
          <w:p w14:paraId="4BAF9097" w14:textId="77777777" w:rsidR="00507181" w:rsidRPr="00FC432B" w:rsidRDefault="00507181" w:rsidP="00FC432B">
            <w:pPr>
              <w:rPr>
                <w:rFonts w:ascii="Proxima Nova Rg" w:hAnsi="Proxima Nova Rg" w:cs="Arial"/>
                <w:noProof/>
                <w:color w:val="646569"/>
              </w:rPr>
            </w:pPr>
            <w:r w:rsidRPr="00B10B3F">
              <w:rPr>
                <w:rFonts w:ascii="Arial" w:hAnsi="Arial" w:cs="Arial"/>
                <w:noProof/>
                <w:color w:val="646569"/>
                <w:sz w:val="20"/>
              </w:rPr>
              <w:t>Governor</w:t>
            </w:r>
          </w:p>
        </w:tc>
        <w:tc>
          <w:tcPr>
            <w:tcW w:w="3672" w:type="dxa"/>
            <w:vAlign w:val="center"/>
          </w:tcPr>
          <w:p w14:paraId="1B0450D5" w14:textId="77777777" w:rsidR="00942E98" w:rsidRPr="00E615EC" w:rsidRDefault="00942E98" w:rsidP="00942E98">
            <w:pPr>
              <w:rPr>
                <w:b/>
                <w:color w:val="595959" w:themeColor="text1" w:themeTint="A6"/>
                <w:sz w:val="20"/>
                <w:szCs w:val="20"/>
              </w:rPr>
            </w:pPr>
            <w:r w:rsidRPr="00E615EC">
              <w:rPr>
                <w:rFonts w:ascii="Arial" w:hAnsi="Arial" w:cs="Arial"/>
                <w:b/>
                <w:bCs/>
                <w:color w:val="595959" w:themeColor="text1" w:themeTint="A6"/>
                <w:sz w:val="20"/>
                <w:szCs w:val="20"/>
              </w:rPr>
              <w:t>RUTHANNE VISNAUSKAS</w:t>
            </w:r>
          </w:p>
          <w:p w14:paraId="4BAF9099" w14:textId="3D004E8D" w:rsidR="00507181" w:rsidRPr="00FC432B" w:rsidRDefault="008E7130" w:rsidP="00FC432B">
            <w:pPr>
              <w:rPr>
                <w:rFonts w:ascii="Proxima Nova Rg" w:hAnsi="Proxima Nova Rg"/>
                <w:noProof/>
                <w:color w:val="646569"/>
              </w:rPr>
            </w:pPr>
            <w:r>
              <w:rPr>
                <w:rFonts w:ascii="Arial" w:hAnsi="Arial" w:cs="Arial"/>
                <w:noProof/>
                <w:color w:val="646569"/>
                <w:sz w:val="20"/>
              </w:rPr>
              <w:t>Commissioner</w:t>
            </w:r>
            <w:r w:rsidR="00037A77">
              <w:rPr>
                <w:rFonts w:ascii="Arial" w:hAnsi="Arial" w:cs="Arial"/>
                <w:noProof/>
                <w:color w:val="646569"/>
                <w:sz w:val="20"/>
              </w:rPr>
              <w:t>/</w:t>
            </w:r>
            <w:r>
              <w:rPr>
                <w:rFonts w:ascii="Arial" w:hAnsi="Arial" w:cs="Arial"/>
                <w:noProof/>
                <w:color w:val="646569"/>
                <w:sz w:val="20"/>
              </w:rPr>
              <w:t>CEO</w:t>
            </w:r>
          </w:p>
        </w:tc>
        <w:tc>
          <w:tcPr>
            <w:tcW w:w="3672" w:type="dxa"/>
            <w:vAlign w:val="center"/>
          </w:tcPr>
          <w:p w14:paraId="4BAF909B" w14:textId="315AB7D7" w:rsidR="00FC432B" w:rsidRPr="00FC432B" w:rsidRDefault="00FC432B" w:rsidP="00FC432B">
            <w:pPr>
              <w:rPr>
                <w:rFonts w:ascii="Proxima Nova Rg" w:hAnsi="Proxima Nova Rg" w:cs="Arial"/>
                <w:caps/>
                <w:noProof/>
                <w:color w:val="646569"/>
                <w:sz w:val="20"/>
              </w:rPr>
            </w:pPr>
          </w:p>
        </w:tc>
      </w:tr>
    </w:tbl>
    <w:p w14:paraId="4BAF909D" w14:textId="640F21C4" w:rsidR="00C05C48" w:rsidRDefault="00C05C48"/>
    <w:p w14:paraId="338F43AE" w14:textId="77777777" w:rsidR="00E166D2" w:rsidRDefault="00E166D2"/>
    <w:p w14:paraId="7C5D796E" w14:textId="5ABDA9BF" w:rsidR="003E529A" w:rsidRPr="00FB1018" w:rsidRDefault="00E166D2" w:rsidP="001D4E6C">
      <w:pPr>
        <w:spacing w:after="0" w:line="240" w:lineRule="auto"/>
        <w:jc w:val="center"/>
        <w:rPr>
          <w:rFonts w:ascii="Arial" w:hAnsi="Arial" w:cs="Arial"/>
          <w:sz w:val="24"/>
          <w:szCs w:val="24"/>
        </w:rPr>
      </w:pPr>
      <w:bookmarkStart w:id="0" w:name="_Hlk38541375"/>
      <w:r>
        <w:rPr>
          <w:rFonts w:ascii="Arial" w:hAnsi="Arial" w:cs="Arial"/>
          <w:b/>
          <w:bCs/>
          <w:sz w:val="28"/>
          <w:szCs w:val="28"/>
        </w:rPr>
        <w:t xml:space="preserve">Satisfaction of </w:t>
      </w:r>
      <w:r w:rsidR="003E529A" w:rsidRPr="00FB1018">
        <w:rPr>
          <w:rFonts w:ascii="Arial" w:hAnsi="Arial" w:cs="Arial"/>
          <w:b/>
          <w:bCs/>
          <w:sz w:val="28"/>
          <w:szCs w:val="28"/>
        </w:rPr>
        <w:t>a New York State</w:t>
      </w:r>
      <w:r w:rsidR="001D4E6C" w:rsidRPr="00FB1018">
        <w:rPr>
          <w:rFonts w:ascii="Arial" w:hAnsi="Arial" w:cs="Arial"/>
          <w:b/>
          <w:bCs/>
          <w:sz w:val="28"/>
          <w:szCs w:val="28"/>
        </w:rPr>
        <w:t xml:space="preserve"> </w:t>
      </w:r>
      <w:r w:rsidR="00A336E0" w:rsidRPr="00FB1018">
        <w:rPr>
          <w:rFonts w:ascii="Arial" w:hAnsi="Arial" w:cs="Arial"/>
          <w:b/>
          <w:bCs/>
          <w:sz w:val="28"/>
          <w:szCs w:val="28"/>
        </w:rPr>
        <w:t>H</w:t>
      </w:r>
      <w:r w:rsidR="001D4E6C" w:rsidRPr="00FB1018">
        <w:rPr>
          <w:rFonts w:ascii="Arial" w:hAnsi="Arial" w:cs="Arial"/>
          <w:b/>
          <w:bCs/>
          <w:sz w:val="28"/>
          <w:szCs w:val="28"/>
        </w:rPr>
        <w:t>ousing Trust Fund Corporation</w:t>
      </w:r>
      <w:r w:rsidR="003E529A" w:rsidRPr="00FB1018">
        <w:rPr>
          <w:rFonts w:ascii="Arial" w:hAnsi="Arial" w:cs="Arial"/>
          <w:b/>
          <w:bCs/>
          <w:sz w:val="28"/>
          <w:szCs w:val="28"/>
        </w:rPr>
        <w:t xml:space="preserve"> HOME</w:t>
      </w:r>
      <w:r w:rsidR="00A336E0" w:rsidRPr="00FB1018">
        <w:rPr>
          <w:rFonts w:ascii="Arial" w:hAnsi="Arial" w:cs="Arial"/>
          <w:b/>
          <w:bCs/>
          <w:sz w:val="28"/>
          <w:szCs w:val="28"/>
        </w:rPr>
        <w:t xml:space="preserve"> Program</w:t>
      </w:r>
      <w:r w:rsidR="00FB1018">
        <w:rPr>
          <w:rFonts w:ascii="Arial" w:hAnsi="Arial" w:cs="Arial"/>
          <w:b/>
          <w:bCs/>
          <w:sz w:val="28"/>
          <w:szCs w:val="28"/>
        </w:rPr>
        <w:t xml:space="preserve"> </w:t>
      </w:r>
      <w:r w:rsidR="003E529A" w:rsidRPr="00FB1018">
        <w:rPr>
          <w:rFonts w:ascii="Arial" w:hAnsi="Arial" w:cs="Arial"/>
          <w:b/>
          <w:bCs/>
          <w:sz w:val="28"/>
          <w:szCs w:val="28"/>
        </w:rPr>
        <w:t>Grant Enforcement Mortgage</w:t>
      </w:r>
      <w:r w:rsidR="001D4E6C" w:rsidRPr="00FB1018">
        <w:rPr>
          <w:rFonts w:ascii="Arial" w:hAnsi="Arial" w:cs="Arial"/>
          <w:b/>
          <w:bCs/>
          <w:sz w:val="28"/>
          <w:szCs w:val="28"/>
        </w:rPr>
        <w:t xml:space="preserve"> </w:t>
      </w:r>
    </w:p>
    <w:p w14:paraId="29087EBA" w14:textId="2183E6B8" w:rsidR="003E529A" w:rsidRDefault="003E529A" w:rsidP="003E529A">
      <w:pPr>
        <w:rPr>
          <w:rFonts w:ascii="Arial" w:hAnsi="Arial" w:cs="Arial"/>
          <w:sz w:val="16"/>
          <w:szCs w:val="16"/>
        </w:rPr>
      </w:pPr>
    </w:p>
    <w:p w14:paraId="5C36F7FC" w14:textId="77777777" w:rsidR="00E166D2" w:rsidRPr="00C56179" w:rsidRDefault="00E166D2" w:rsidP="003E529A">
      <w:pPr>
        <w:rPr>
          <w:rFonts w:ascii="Arial" w:hAnsi="Arial" w:cs="Arial"/>
          <w:sz w:val="16"/>
          <w:szCs w:val="16"/>
        </w:rPr>
      </w:pPr>
    </w:p>
    <w:p w14:paraId="2D97C9E5" w14:textId="77777777" w:rsidR="00E166D2" w:rsidRPr="009E7A1D" w:rsidRDefault="00E166D2" w:rsidP="00E166D2">
      <w:pPr>
        <w:spacing w:after="0"/>
        <w:rPr>
          <w:rFonts w:ascii="Arial" w:hAnsi="Arial" w:cs="Arial"/>
          <w:sz w:val="24"/>
          <w:szCs w:val="24"/>
        </w:rPr>
      </w:pPr>
      <w:r w:rsidRPr="009E7A1D">
        <w:rPr>
          <w:rFonts w:ascii="Arial" w:hAnsi="Arial" w:cs="Arial"/>
          <w:sz w:val="24"/>
          <w:szCs w:val="24"/>
        </w:rPr>
        <w:t>The NYS HOME Program enforces the Periods of Affordability (POA) required of HOME Program beneficiaries with a recapture note and mortgage (grant enforcement mortgage).  The POA is based on the HOME activity and/or HOME funds invested in the project and is detailed in the note and mortgage filed with the county clerk.</w:t>
      </w:r>
    </w:p>
    <w:p w14:paraId="33291C53" w14:textId="77777777" w:rsidR="00E166D2" w:rsidRPr="009E7A1D" w:rsidRDefault="00E166D2" w:rsidP="00E166D2">
      <w:pPr>
        <w:spacing w:after="0"/>
        <w:rPr>
          <w:rFonts w:ascii="Arial" w:hAnsi="Arial" w:cs="Arial"/>
          <w:sz w:val="24"/>
          <w:szCs w:val="24"/>
        </w:rPr>
      </w:pPr>
    </w:p>
    <w:p w14:paraId="4B307697" w14:textId="77777777" w:rsidR="00E166D2" w:rsidRPr="009E7A1D" w:rsidRDefault="00E166D2" w:rsidP="00E166D2">
      <w:pPr>
        <w:spacing w:after="0"/>
        <w:rPr>
          <w:rFonts w:ascii="Arial" w:hAnsi="Arial" w:cs="Arial"/>
          <w:sz w:val="24"/>
          <w:szCs w:val="24"/>
        </w:rPr>
      </w:pPr>
      <w:r w:rsidRPr="009E7A1D">
        <w:rPr>
          <w:rFonts w:ascii="Arial" w:hAnsi="Arial" w:cs="Arial"/>
          <w:sz w:val="24"/>
          <w:szCs w:val="24"/>
        </w:rPr>
        <w:t xml:space="preserve">The note and mortgage </w:t>
      </w:r>
      <w:proofErr w:type="gramStart"/>
      <w:r w:rsidRPr="009E7A1D">
        <w:rPr>
          <w:rFonts w:ascii="Arial" w:hAnsi="Arial" w:cs="Arial"/>
          <w:sz w:val="24"/>
          <w:szCs w:val="24"/>
        </w:rPr>
        <w:t>is</w:t>
      </w:r>
      <w:proofErr w:type="gramEnd"/>
      <w:r w:rsidRPr="009E7A1D">
        <w:rPr>
          <w:rFonts w:ascii="Arial" w:hAnsi="Arial" w:cs="Arial"/>
          <w:sz w:val="24"/>
          <w:szCs w:val="24"/>
        </w:rPr>
        <w:t xml:space="preserve"> zero percent interest, and the principal balance is reduced annually on the anniversary date of when the unit was closed in IDIS. No repayment is required if the HOME beneficiary remains as principal resident of the HOME funded unit throughout the POA</w:t>
      </w:r>
      <w:r>
        <w:rPr>
          <w:rFonts w:ascii="Arial" w:hAnsi="Arial" w:cs="Arial"/>
          <w:sz w:val="24"/>
          <w:szCs w:val="24"/>
        </w:rPr>
        <w:t xml:space="preserve"> and meets all obligations in the note and mortgage</w:t>
      </w:r>
      <w:r w:rsidRPr="009E7A1D">
        <w:rPr>
          <w:rFonts w:ascii="Arial" w:hAnsi="Arial" w:cs="Arial"/>
          <w:sz w:val="24"/>
          <w:szCs w:val="24"/>
        </w:rPr>
        <w:t xml:space="preserve">. </w:t>
      </w:r>
    </w:p>
    <w:p w14:paraId="64A502D6" w14:textId="77777777" w:rsidR="00E166D2" w:rsidRDefault="00E166D2" w:rsidP="00E166D2">
      <w:pPr>
        <w:spacing w:after="0"/>
        <w:rPr>
          <w:rFonts w:ascii="Arial" w:hAnsi="Arial" w:cs="Arial"/>
          <w:i/>
          <w:iCs/>
        </w:rPr>
      </w:pPr>
    </w:p>
    <w:p w14:paraId="710BCF27" w14:textId="0095B0D2" w:rsidR="00E166D2" w:rsidRPr="00E166D2" w:rsidRDefault="00E166D2" w:rsidP="00E166D2">
      <w:pPr>
        <w:spacing w:after="0"/>
        <w:rPr>
          <w:rFonts w:ascii="Arial" w:hAnsi="Arial" w:cs="Arial"/>
          <w:bCs/>
          <w:sz w:val="24"/>
          <w:szCs w:val="24"/>
          <w:u w:val="single"/>
        </w:rPr>
      </w:pPr>
      <w:r w:rsidRPr="00E166D2">
        <w:rPr>
          <w:rFonts w:ascii="Arial" w:hAnsi="Arial" w:cs="Arial"/>
          <w:sz w:val="24"/>
          <w:szCs w:val="24"/>
        </w:rPr>
        <w:t>If the home is sold or the owner no longer resides as principal resident for whatever reason during the POA, the pro-rated portion of the note and mortgage must be repaid to the HTFC and the HOME Returned/Repayment of Funds procedure should be used instead.</w:t>
      </w:r>
    </w:p>
    <w:p w14:paraId="50096BA5" w14:textId="77777777" w:rsidR="00E166D2" w:rsidRDefault="00E166D2" w:rsidP="00E166D2">
      <w:pPr>
        <w:spacing w:after="0"/>
        <w:rPr>
          <w:rFonts w:ascii="Arial" w:hAnsi="Arial" w:cs="Arial"/>
          <w:bCs/>
          <w:sz w:val="24"/>
          <w:szCs w:val="24"/>
        </w:rPr>
      </w:pPr>
    </w:p>
    <w:p w14:paraId="02FCE9FA" w14:textId="541BC933" w:rsidR="00E166D2" w:rsidRPr="00B45833" w:rsidRDefault="00E166D2" w:rsidP="00E166D2">
      <w:pPr>
        <w:spacing w:after="0" w:line="240" w:lineRule="auto"/>
        <w:rPr>
          <w:rFonts w:ascii="Arial" w:hAnsi="Arial" w:cs="Arial"/>
          <w:bCs/>
          <w:sz w:val="24"/>
          <w:szCs w:val="24"/>
        </w:rPr>
      </w:pPr>
      <w:r w:rsidRPr="00B45833">
        <w:rPr>
          <w:rFonts w:ascii="Arial" w:hAnsi="Arial" w:cs="Arial"/>
          <w:bCs/>
          <w:sz w:val="24"/>
          <w:szCs w:val="24"/>
        </w:rPr>
        <w:t xml:space="preserve">Most </w:t>
      </w:r>
      <w:r>
        <w:rPr>
          <w:rFonts w:ascii="Arial" w:hAnsi="Arial" w:cs="Arial"/>
          <w:bCs/>
          <w:sz w:val="24"/>
          <w:szCs w:val="24"/>
        </w:rPr>
        <w:t>n</w:t>
      </w:r>
      <w:r w:rsidRPr="00B45833">
        <w:rPr>
          <w:rFonts w:ascii="Arial" w:hAnsi="Arial" w:cs="Arial"/>
          <w:bCs/>
          <w:sz w:val="24"/>
          <w:szCs w:val="24"/>
        </w:rPr>
        <w:t xml:space="preserve">ote and </w:t>
      </w:r>
      <w:r>
        <w:rPr>
          <w:rFonts w:ascii="Arial" w:hAnsi="Arial" w:cs="Arial"/>
          <w:bCs/>
          <w:sz w:val="24"/>
          <w:szCs w:val="24"/>
        </w:rPr>
        <w:t>m</w:t>
      </w:r>
      <w:r w:rsidRPr="00B45833">
        <w:rPr>
          <w:rFonts w:ascii="Arial" w:hAnsi="Arial" w:cs="Arial"/>
          <w:bCs/>
          <w:sz w:val="24"/>
          <w:szCs w:val="24"/>
        </w:rPr>
        <w:t xml:space="preserve">ortgages have a </w:t>
      </w:r>
      <w:r>
        <w:rPr>
          <w:rFonts w:ascii="Arial" w:hAnsi="Arial" w:cs="Arial"/>
          <w:bCs/>
          <w:sz w:val="24"/>
          <w:szCs w:val="24"/>
        </w:rPr>
        <w:t>“</w:t>
      </w:r>
      <w:r w:rsidRPr="00B45833">
        <w:rPr>
          <w:rFonts w:ascii="Arial" w:hAnsi="Arial" w:cs="Arial"/>
          <w:bCs/>
          <w:sz w:val="24"/>
          <w:szCs w:val="24"/>
        </w:rPr>
        <w:t>self</w:t>
      </w:r>
      <w:r>
        <w:rPr>
          <w:rFonts w:ascii="Arial" w:hAnsi="Arial" w:cs="Arial"/>
          <w:bCs/>
          <w:sz w:val="24"/>
          <w:szCs w:val="24"/>
        </w:rPr>
        <w:t>-</w:t>
      </w:r>
      <w:r w:rsidRPr="00B45833">
        <w:rPr>
          <w:rFonts w:ascii="Arial" w:hAnsi="Arial" w:cs="Arial"/>
          <w:bCs/>
          <w:sz w:val="24"/>
          <w:szCs w:val="24"/>
        </w:rPr>
        <w:t>extinguishing</w:t>
      </w:r>
      <w:r>
        <w:rPr>
          <w:rFonts w:ascii="Arial" w:hAnsi="Arial" w:cs="Arial"/>
          <w:bCs/>
          <w:sz w:val="24"/>
          <w:szCs w:val="24"/>
        </w:rPr>
        <w:t>”</w:t>
      </w:r>
      <w:r w:rsidRPr="00B45833">
        <w:rPr>
          <w:rFonts w:ascii="Arial" w:hAnsi="Arial" w:cs="Arial"/>
          <w:bCs/>
          <w:sz w:val="24"/>
          <w:szCs w:val="24"/>
        </w:rPr>
        <w:t xml:space="preserve"> clause that state when the POA has been met and that the lien is of no further force of effect.  This </w:t>
      </w:r>
      <w:r>
        <w:rPr>
          <w:rFonts w:ascii="Arial" w:hAnsi="Arial" w:cs="Arial"/>
          <w:bCs/>
          <w:sz w:val="24"/>
          <w:szCs w:val="24"/>
        </w:rPr>
        <w:t xml:space="preserve">clause </w:t>
      </w:r>
      <w:r w:rsidRPr="00B45833">
        <w:rPr>
          <w:rFonts w:ascii="Arial" w:hAnsi="Arial" w:cs="Arial"/>
          <w:bCs/>
          <w:sz w:val="24"/>
          <w:szCs w:val="24"/>
        </w:rPr>
        <w:t xml:space="preserve">can be </w:t>
      </w:r>
      <w:r>
        <w:rPr>
          <w:rFonts w:ascii="Arial" w:hAnsi="Arial" w:cs="Arial"/>
          <w:bCs/>
          <w:sz w:val="24"/>
          <w:szCs w:val="24"/>
        </w:rPr>
        <w:t xml:space="preserve">used to satisfy the lien, however </w:t>
      </w:r>
      <w:r w:rsidRPr="00B45833">
        <w:rPr>
          <w:rFonts w:ascii="Arial" w:hAnsi="Arial" w:cs="Arial"/>
          <w:bCs/>
          <w:sz w:val="24"/>
          <w:szCs w:val="24"/>
        </w:rPr>
        <w:t xml:space="preserve">if a satisfaction document </w:t>
      </w:r>
      <w:r>
        <w:rPr>
          <w:rFonts w:ascii="Arial" w:hAnsi="Arial" w:cs="Arial"/>
          <w:bCs/>
          <w:sz w:val="24"/>
          <w:szCs w:val="24"/>
        </w:rPr>
        <w:t xml:space="preserve">is still required, </w:t>
      </w:r>
      <w:r w:rsidRPr="00B45833">
        <w:rPr>
          <w:rFonts w:ascii="Arial" w:hAnsi="Arial" w:cs="Arial"/>
          <w:bCs/>
          <w:sz w:val="24"/>
          <w:szCs w:val="24"/>
        </w:rPr>
        <w:t>follow the steps below.</w:t>
      </w:r>
    </w:p>
    <w:p w14:paraId="0C516199" w14:textId="2D39021B" w:rsidR="00E166D2" w:rsidRDefault="00E166D2" w:rsidP="00E166D2">
      <w:pPr>
        <w:spacing w:after="0" w:line="240" w:lineRule="auto"/>
        <w:jc w:val="both"/>
        <w:rPr>
          <w:rFonts w:ascii="Arial" w:hAnsi="Arial" w:cs="Arial"/>
          <w:sz w:val="24"/>
          <w:szCs w:val="24"/>
        </w:rPr>
      </w:pPr>
    </w:p>
    <w:p w14:paraId="0794DFB7" w14:textId="0FAA0E9C" w:rsidR="00E166D2" w:rsidRDefault="00E166D2" w:rsidP="00E166D2">
      <w:pPr>
        <w:spacing w:after="0" w:line="240" w:lineRule="auto"/>
        <w:contextualSpacing/>
        <w:rPr>
          <w:rFonts w:ascii="Arial" w:hAnsi="Arial" w:cs="Arial"/>
          <w:bCs/>
          <w:sz w:val="24"/>
          <w:szCs w:val="24"/>
        </w:rPr>
      </w:pPr>
      <w:r w:rsidRPr="00E166D2">
        <w:rPr>
          <w:rFonts w:ascii="Arial" w:hAnsi="Arial" w:cs="Arial"/>
          <w:bCs/>
          <w:sz w:val="24"/>
          <w:szCs w:val="24"/>
        </w:rPr>
        <w:t xml:space="preserve">LPA must submit a detailed request for satisfaction (email is fine) to </w:t>
      </w:r>
      <w:r>
        <w:rPr>
          <w:rFonts w:ascii="Arial" w:hAnsi="Arial" w:cs="Arial"/>
          <w:bCs/>
          <w:sz w:val="24"/>
          <w:szCs w:val="24"/>
        </w:rPr>
        <w:t xml:space="preserve">the </w:t>
      </w:r>
      <w:r w:rsidR="009120D2">
        <w:rPr>
          <w:rFonts w:ascii="Arial" w:hAnsi="Arial" w:cs="Arial"/>
          <w:bCs/>
          <w:sz w:val="24"/>
          <w:szCs w:val="24"/>
        </w:rPr>
        <w:t xml:space="preserve">Home </w:t>
      </w:r>
      <w:r>
        <w:rPr>
          <w:rFonts w:ascii="Arial" w:hAnsi="Arial" w:cs="Arial"/>
          <w:bCs/>
          <w:sz w:val="24"/>
          <w:szCs w:val="24"/>
        </w:rPr>
        <w:t xml:space="preserve">Program </w:t>
      </w:r>
      <w:r w:rsidR="009120D2">
        <w:rPr>
          <w:rFonts w:ascii="Arial" w:hAnsi="Arial" w:cs="Arial"/>
          <w:bCs/>
          <w:sz w:val="24"/>
          <w:szCs w:val="24"/>
        </w:rPr>
        <w:t xml:space="preserve">mailbox - </w:t>
      </w:r>
      <w:hyperlink r:id="rId12" w:history="1">
        <w:r w:rsidR="00716F44" w:rsidRPr="00C246CE">
          <w:rPr>
            <w:rStyle w:val="Hyperlink"/>
            <w:rFonts w:ascii="Arial" w:hAnsi="Arial" w:cs="Arial"/>
            <w:bCs/>
            <w:sz w:val="24"/>
            <w:szCs w:val="24"/>
          </w:rPr>
          <w:t>HOMEProgram@hcr.ny.gov</w:t>
        </w:r>
      </w:hyperlink>
      <w:r>
        <w:rPr>
          <w:rFonts w:ascii="Arial" w:hAnsi="Arial" w:cs="Arial"/>
          <w:bCs/>
          <w:sz w:val="24"/>
          <w:szCs w:val="24"/>
        </w:rPr>
        <w:t xml:space="preserve"> for review and approval.  The email must </w:t>
      </w:r>
      <w:r w:rsidRPr="00E166D2">
        <w:rPr>
          <w:rFonts w:ascii="Arial" w:hAnsi="Arial" w:cs="Arial"/>
          <w:bCs/>
          <w:sz w:val="24"/>
          <w:szCs w:val="24"/>
        </w:rPr>
        <w:t>include</w:t>
      </w:r>
      <w:r>
        <w:rPr>
          <w:rFonts w:ascii="Arial" w:hAnsi="Arial" w:cs="Arial"/>
          <w:bCs/>
          <w:sz w:val="24"/>
          <w:szCs w:val="24"/>
        </w:rPr>
        <w:t>:</w:t>
      </w:r>
    </w:p>
    <w:p w14:paraId="033CB732" w14:textId="77777777" w:rsidR="00E166D2" w:rsidRPr="00E166D2" w:rsidRDefault="00E166D2" w:rsidP="00E166D2">
      <w:pPr>
        <w:spacing w:after="0" w:line="240" w:lineRule="auto"/>
        <w:contextualSpacing/>
        <w:rPr>
          <w:rFonts w:ascii="Arial" w:hAnsi="Arial" w:cs="Arial"/>
          <w:bCs/>
          <w:sz w:val="24"/>
          <w:szCs w:val="24"/>
        </w:rPr>
      </w:pPr>
    </w:p>
    <w:p w14:paraId="75571F5B" w14:textId="77777777" w:rsidR="00E166D2" w:rsidRPr="00E166D2" w:rsidRDefault="00E166D2" w:rsidP="00E166D2">
      <w:pPr>
        <w:pStyle w:val="ListParagraph"/>
        <w:numPr>
          <w:ilvl w:val="0"/>
          <w:numId w:val="4"/>
        </w:numPr>
        <w:contextualSpacing/>
        <w:rPr>
          <w:rFonts w:ascii="Arial" w:hAnsi="Arial" w:cs="Arial"/>
          <w:bCs/>
          <w:sz w:val="24"/>
          <w:szCs w:val="24"/>
        </w:rPr>
      </w:pPr>
      <w:r w:rsidRPr="00E166D2">
        <w:rPr>
          <w:rFonts w:ascii="Arial" w:hAnsi="Arial" w:cs="Arial"/>
          <w:bCs/>
          <w:sz w:val="24"/>
          <w:szCs w:val="24"/>
        </w:rPr>
        <w:t>SHARS ID</w:t>
      </w:r>
    </w:p>
    <w:p w14:paraId="2A5AE8E3" w14:textId="77777777" w:rsidR="00E166D2" w:rsidRPr="00E166D2" w:rsidRDefault="00E166D2" w:rsidP="00E166D2">
      <w:pPr>
        <w:pStyle w:val="ListParagraph"/>
        <w:numPr>
          <w:ilvl w:val="0"/>
          <w:numId w:val="4"/>
        </w:numPr>
        <w:contextualSpacing/>
        <w:rPr>
          <w:rFonts w:ascii="Arial" w:hAnsi="Arial" w:cs="Arial"/>
          <w:bCs/>
          <w:sz w:val="24"/>
          <w:szCs w:val="24"/>
        </w:rPr>
      </w:pPr>
      <w:r w:rsidRPr="00E166D2">
        <w:rPr>
          <w:rFonts w:ascii="Arial" w:hAnsi="Arial" w:cs="Arial"/>
          <w:bCs/>
          <w:sz w:val="24"/>
          <w:szCs w:val="24"/>
        </w:rPr>
        <w:t>Activity address (and IDIS # if available)</w:t>
      </w:r>
    </w:p>
    <w:p w14:paraId="7CA505A2" w14:textId="77777777" w:rsidR="00E166D2" w:rsidRPr="00E166D2" w:rsidRDefault="00E166D2" w:rsidP="00E166D2">
      <w:pPr>
        <w:pStyle w:val="ListParagraph"/>
        <w:numPr>
          <w:ilvl w:val="0"/>
          <w:numId w:val="4"/>
        </w:numPr>
        <w:contextualSpacing/>
        <w:rPr>
          <w:rFonts w:ascii="Arial" w:hAnsi="Arial" w:cs="Arial"/>
          <w:bCs/>
          <w:sz w:val="24"/>
          <w:szCs w:val="24"/>
        </w:rPr>
      </w:pPr>
      <w:r w:rsidRPr="00E166D2">
        <w:rPr>
          <w:rFonts w:ascii="Arial" w:hAnsi="Arial" w:cs="Arial"/>
          <w:bCs/>
          <w:sz w:val="24"/>
          <w:szCs w:val="24"/>
        </w:rPr>
        <w:t>Reason for the request (that the POA has been met)</w:t>
      </w:r>
    </w:p>
    <w:p w14:paraId="61D60864" w14:textId="549F9150" w:rsidR="00E166D2" w:rsidRPr="00E166D2" w:rsidRDefault="00E166D2" w:rsidP="00E166D2">
      <w:pPr>
        <w:pStyle w:val="ListParagraph"/>
        <w:numPr>
          <w:ilvl w:val="0"/>
          <w:numId w:val="4"/>
        </w:numPr>
        <w:contextualSpacing/>
        <w:rPr>
          <w:rFonts w:ascii="Arial" w:hAnsi="Arial" w:cs="Arial"/>
          <w:bCs/>
          <w:sz w:val="24"/>
          <w:szCs w:val="24"/>
        </w:rPr>
      </w:pPr>
      <w:r w:rsidRPr="00E166D2">
        <w:rPr>
          <w:rFonts w:ascii="Arial" w:hAnsi="Arial" w:cs="Arial"/>
          <w:bCs/>
          <w:sz w:val="24"/>
          <w:szCs w:val="24"/>
        </w:rPr>
        <w:t>Copy of the note and mortgage</w:t>
      </w:r>
      <w:r>
        <w:rPr>
          <w:rFonts w:ascii="Arial" w:hAnsi="Arial" w:cs="Arial"/>
          <w:bCs/>
          <w:sz w:val="24"/>
          <w:szCs w:val="24"/>
        </w:rPr>
        <w:t xml:space="preserve"> filed including the filing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E529A" w14:paraId="641F3FA1" w14:textId="77777777" w:rsidTr="00E166D2">
        <w:trPr>
          <w:trHeight w:val="1080"/>
        </w:trPr>
        <w:tc>
          <w:tcPr>
            <w:tcW w:w="10080" w:type="dxa"/>
          </w:tcPr>
          <w:p w14:paraId="457C7DEA" w14:textId="77777777" w:rsidR="00E166D2" w:rsidRDefault="00E166D2" w:rsidP="007165F9">
            <w:pPr>
              <w:rPr>
                <w:rFonts w:ascii="Arial" w:hAnsi="Arial" w:cs="Arial"/>
                <w:bCs/>
                <w:sz w:val="24"/>
                <w:szCs w:val="24"/>
              </w:rPr>
            </w:pPr>
          </w:p>
          <w:p w14:paraId="137AABD8" w14:textId="5112DD94" w:rsidR="003E529A" w:rsidRDefault="00E166D2" w:rsidP="007165F9">
            <w:r w:rsidRPr="00AF4391">
              <w:rPr>
                <w:rFonts w:ascii="Arial" w:hAnsi="Arial" w:cs="Arial"/>
                <w:bCs/>
                <w:sz w:val="24"/>
                <w:szCs w:val="24"/>
              </w:rPr>
              <w:t xml:space="preserve">If the original note and mortgage is in the name of the HTFC, the </w:t>
            </w:r>
            <w:r>
              <w:rPr>
                <w:rFonts w:ascii="Arial" w:hAnsi="Arial" w:cs="Arial"/>
                <w:bCs/>
                <w:sz w:val="24"/>
                <w:szCs w:val="24"/>
              </w:rPr>
              <w:t>satisfaction</w:t>
            </w:r>
            <w:r w:rsidRPr="00AF4391">
              <w:rPr>
                <w:rFonts w:ascii="Arial" w:hAnsi="Arial" w:cs="Arial"/>
                <w:bCs/>
                <w:sz w:val="24"/>
                <w:szCs w:val="24"/>
              </w:rPr>
              <w:t xml:space="preserve"> is prepared by the HTFC.  If the original note and mortgage is in the name of the LPA, the HTFC reviews and approves the transaction, but the</w:t>
            </w:r>
            <w:r w:rsidR="008F0ABF">
              <w:rPr>
                <w:rFonts w:ascii="Arial" w:hAnsi="Arial" w:cs="Arial"/>
                <w:bCs/>
                <w:sz w:val="24"/>
                <w:szCs w:val="24"/>
              </w:rPr>
              <w:t xml:space="preserve"> satisfaction</w:t>
            </w:r>
            <w:r w:rsidRPr="00AF4391">
              <w:rPr>
                <w:rFonts w:ascii="Arial" w:hAnsi="Arial" w:cs="Arial"/>
                <w:bCs/>
                <w:sz w:val="24"/>
                <w:szCs w:val="24"/>
              </w:rPr>
              <w:t xml:space="preserve"> is prepared by the LPA.</w:t>
            </w:r>
            <w:r>
              <w:rPr>
                <w:rFonts w:ascii="Arial" w:hAnsi="Arial" w:cs="Arial"/>
                <w:bCs/>
                <w:sz w:val="24"/>
                <w:szCs w:val="24"/>
              </w:rPr>
              <w:t xml:space="preserve">  </w:t>
            </w:r>
          </w:p>
        </w:tc>
      </w:tr>
      <w:bookmarkEnd w:id="0"/>
    </w:tbl>
    <w:p w14:paraId="05F2EA39" w14:textId="44533860" w:rsidR="003E529A" w:rsidRDefault="003E529A" w:rsidP="003E529A">
      <w:pPr>
        <w:rPr>
          <w:rFonts w:ascii="Arial" w:hAnsi="Arial" w:cs="Arial"/>
          <w:sz w:val="24"/>
          <w:szCs w:val="24"/>
          <w:u w:val="double"/>
        </w:rPr>
      </w:pPr>
    </w:p>
    <w:p w14:paraId="47A69D7B" w14:textId="5DF45305" w:rsidR="00BE4C63" w:rsidRPr="00BE4C63" w:rsidRDefault="00BE4C63" w:rsidP="00BE4C63">
      <w:pPr>
        <w:rPr>
          <w:rFonts w:ascii="Arial" w:hAnsi="Arial" w:cs="Arial"/>
          <w:sz w:val="24"/>
          <w:szCs w:val="24"/>
        </w:rPr>
      </w:pPr>
    </w:p>
    <w:p w14:paraId="0121D0C5" w14:textId="0952C2E7" w:rsidR="00BE4C63" w:rsidRPr="00BE4C63" w:rsidRDefault="00BE4C63" w:rsidP="00BE4C63">
      <w:pPr>
        <w:tabs>
          <w:tab w:val="left" w:pos="1741"/>
        </w:tabs>
        <w:rPr>
          <w:rFonts w:ascii="Arial" w:hAnsi="Arial" w:cs="Arial"/>
          <w:sz w:val="24"/>
          <w:szCs w:val="24"/>
        </w:rPr>
      </w:pPr>
      <w:r>
        <w:rPr>
          <w:rFonts w:ascii="Arial" w:hAnsi="Arial" w:cs="Arial"/>
          <w:sz w:val="24"/>
          <w:szCs w:val="24"/>
        </w:rPr>
        <w:lastRenderedPageBreak/>
        <w:tab/>
      </w:r>
    </w:p>
    <w:sectPr w:rsidR="00BE4C63" w:rsidRPr="00BE4C63" w:rsidSect="0038234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5443" w14:textId="77777777" w:rsidR="00DE2D8F" w:rsidRDefault="00DE2D8F" w:rsidP="00FC432B">
      <w:pPr>
        <w:spacing w:after="0" w:line="240" w:lineRule="auto"/>
      </w:pPr>
      <w:r>
        <w:separator/>
      </w:r>
    </w:p>
  </w:endnote>
  <w:endnote w:type="continuationSeparator" w:id="0">
    <w:p w14:paraId="5201FBBD" w14:textId="77777777" w:rsidR="00DE2D8F" w:rsidRDefault="00DE2D8F"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D118" w14:textId="77777777" w:rsidR="00716F44" w:rsidRDefault="00716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90AB" w14:textId="12BB9393" w:rsidR="004E6B80" w:rsidRPr="002A047A" w:rsidRDefault="008F0ABF" w:rsidP="00A6330C">
    <w:pPr>
      <w:pStyle w:val="Footer"/>
      <w:rPr>
        <w:rFonts w:ascii="Arial" w:hAnsi="Arial" w:cs="Arial"/>
        <w:color w:val="646569"/>
        <w:sz w:val="16"/>
        <w:szCs w:val="16"/>
      </w:rPr>
    </w:pPr>
    <w:r>
      <w:rPr>
        <w:rFonts w:ascii="Arial" w:hAnsi="Arial" w:cs="Arial"/>
        <w:color w:val="646569"/>
        <w:sz w:val="16"/>
        <w:szCs w:val="16"/>
      </w:rPr>
      <w:t xml:space="preserve">Satisfaction Procedure </w:t>
    </w:r>
    <w:r w:rsidR="00716F44">
      <w:rPr>
        <w:rFonts w:ascii="Arial" w:hAnsi="Arial" w:cs="Arial"/>
        <w:color w:val="646569"/>
        <w:sz w:val="16"/>
        <w:szCs w:val="16"/>
      </w:rPr>
      <w:t>12.29.2021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3FA0" w14:textId="77777777" w:rsidR="00716F44" w:rsidRDefault="0071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5AE8" w14:textId="77777777" w:rsidR="00DE2D8F" w:rsidRDefault="00DE2D8F" w:rsidP="00FC432B">
      <w:pPr>
        <w:spacing w:after="0" w:line="240" w:lineRule="auto"/>
      </w:pPr>
      <w:r>
        <w:separator/>
      </w:r>
    </w:p>
  </w:footnote>
  <w:footnote w:type="continuationSeparator" w:id="0">
    <w:p w14:paraId="63DAB889" w14:textId="77777777" w:rsidR="00DE2D8F" w:rsidRDefault="00DE2D8F"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1753" w14:textId="77777777" w:rsidR="00716F44" w:rsidRDefault="0071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825D" w14:textId="77777777" w:rsidR="00716F44" w:rsidRDefault="0071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2523" w14:textId="77777777" w:rsidR="00716F44" w:rsidRDefault="0071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5BC"/>
    <w:multiLevelType w:val="hybridMultilevel"/>
    <w:tmpl w:val="FF1EA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2CDA06D2">
      <w:start w:val="2"/>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A5E1D"/>
    <w:multiLevelType w:val="hybridMultilevel"/>
    <w:tmpl w:val="15D4CA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C0A9D"/>
    <w:multiLevelType w:val="hybridMultilevel"/>
    <w:tmpl w:val="AB8CA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4D1FD0"/>
    <w:multiLevelType w:val="hybridMultilevel"/>
    <w:tmpl w:val="1D4EA90C"/>
    <w:lvl w:ilvl="0" w:tplc="6E902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26655"/>
    <w:rsid w:val="00033A0E"/>
    <w:rsid w:val="00037A77"/>
    <w:rsid w:val="000818E1"/>
    <w:rsid w:val="001D4E6C"/>
    <w:rsid w:val="00215390"/>
    <w:rsid w:val="00217A96"/>
    <w:rsid w:val="002203D7"/>
    <w:rsid w:val="00223328"/>
    <w:rsid w:val="002A047A"/>
    <w:rsid w:val="002C2B8B"/>
    <w:rsid w:val="003212CB"/>
    <w:rsid w:val="00325704"/>
    <w:rsid w:val="00382348"/>
    <w:rsid w:val="00386B79"/>
    <w:rsid w:val="003E529A"/>
    <w:rsid w:val="00414217"/>
    <w:rsid w:val="00424641"/>
    <w:rsid w:val="004E2504"/>
    <w:rsid w:val="004E6B80"/>
    <w:rsid w:val="00507181"/>
    <w:rsid w:val="005D65EA"/>
    <w:rsid w:val="006315B6"/>
    <w:rsid w:val="00711F3C"/>
    <w:rsid w:val="00716F44"/>
    <w:rsid w:val="00746F5F"/>
    <w:rsid w:val="007926B7"/>
    <w:rsid w:val="0079711C"/>
    <w:rsid w:val="007A3ED2"/>
    <w:rsid w:val="007F3329"/>
    <w:rsid w:val="00823284"/>
    <w:rsid w:val="00874C78"/>
    <w:rsid w:val="008E7130"/>
    <w:rsid w:val="008F0ABF"/>
    <w:rsid w:val="009120D2"/>
    <w:rsid w:val="00942E98"/>
    <w:rsid w:val="009541FB"/>
    <w:rsid w:val="009A217B"/>
    <w:rsid w:val="009A21CB"/>
    <w:rsid w:val="009C1FD0"/>
    <w:rsid w:val="00A336E0"/>
    <w:rsid w:val="00A35323"/>
    <w:rsid w:val="00A6330C"/>
    <w:rsid w:val="00AF61EE"/>
    <w:rsid w:val="00B10B3F"/>
    <w:rsid w:val="00B357F5"/>
    <w:rsid w:val="00B37A8B"/>
    <w:rsid w:val="00B94DBE"/>
    <w:rsid w:val="00BE4C63"/>
    <w:rsid w:val="00BE63F2"/>
    <w:rsid w:val="00BF0542"/>
    <w:rsid w:val="00C05C48"/>
    <w:rsid w:val="00C31692"/>
    <w:rsid w:val="00C56427"/>
    <w:rsid w:val="00C83C1D"/>
    <w:rsid w:val="00CE5B77"/>
    <w:rsid w:val="00D86410"/>
    <w:rsid w:val="00DA46F7"/>
    <w:rsid w:val="00DE2D8F"/>
    <w:rsid w:val="00E02896"/>
    <w:rsid w:val="00E10221"/>
    <w:rsid w:val="00E13572"/>
    <w:rsid w:val="00E166D2"/>
    <w:rsid w:val="00E40B39"/>
    <w:rsid w:val="00E86F7C"/>
    <w:rsid w:val="00EA24C8"/>
    <w:rsid w:val="00ED0ED4"/>
    <w:rsid w:val="00F77ED5"/>
    <w:rsid w:val="00FA7974"/>
    <w:rsid w:val="00FB1018"/>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F9094"/>
  <w15:docId w15:val="{F7CD2ED3-CDFE-4B1C-A123-A5A1998F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PlaceholderText">
    <w:name w:val="Placeholder Text"/>
    <w:basedOn w:val="DefaultParagraphFont"/>
    <w:uiPriority w:val="99"/>
    <w:semiHidden/>
    <w:rsid w:val="009C1FD0"/>
    <w:rPr>
      <w:color w:val="808080"/>
    </w:rPr>
  </w:style>
  <w:style w:type="paragraph" w:customStyle="1" w:styleId="1AutoList1">
    <w:name w:val="1AutoList1"/>
    <w:rsid w:val="003E529A"/>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3E529A"/>
    <w:pPr>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166D2"/>
    <w:rPr>
      <w:color w:val="0000FF" w:themeColor="hyperlink"/>
      <w:u w:val="single"/>
    </w:rPr>
  </w:style>
  <w:style w:type="character" w:styleId="UnresolvedMention">
    <w:name w:val="Unresolved Mention"/>
    <w:basedOn w:val="DefaultParagraphFont"/>
    <w:uiPriority w:val="99"/>
    <w:semiHidden/>
    <w:unhideWhenUsed/>
    <w:rsid w:val="00E1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32586">
      <w:bodyDiv w:val="1"/>
      <w:marLeft w:val="0"/>
      <w:marRight w:val="0"/>
      <w:marTop w:val="0"/>
      <w:marBottom w:val="0"/>
      <w:divBdr>
        <w:top w:val="none" w:sz="0" w:space="0" w:color="auto"/>
        <w:left w:val="none" w:sz="0" w:space="0" w:color="auto"/>
        <w:bottom w:val="none" w:sz="0" w:space="0" w:color="auto"/>
        <w:right w:val="none" w:sz="0" w:space="0" w:color="auto"/>
      </w:divBdr>
    </w:div>
    <w:div w:id="8651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MEProgram@hcr.n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C3BA13CDF0845B3919E2A51956488" ma:contentTypeVersion="4" ma:contentTypeDescription="Create a new document." ma:contentTypeScope="" ma:versionID="bfe724193ae6f9917899539dc6664789">
  <xsd:schema xmlns:xsd="http://www.w3.org/2001/XMLSchema" xmlns:xs="http://www.w3.org/2001/XMLSchema" xmlns:p="http://schemas.microsoft.com/office/2006/metadata/properties" xmlns:ns2="35028025-0c86-453f-9497-197989db0f5c" xmlns:ns3="76221d59-7479-4b2e-9961-5adfc5f28017" targetNamespace="http://schemas.microsoft.com/office/2006/metadata/properties" ma:root="true" ma:fieldsID="0b703263ca548f87de6dc85791ddbeeb" ns2:_="" ns3:_="">
    <xsd:import namespace="35028025-0c86-453f-9497-197989db0f5c"/>
    <xsd:import namespace="76221d59-7479-4b2e-9961-5adfc5f280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28025-0c86-453f-9497-197989db0f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21d59-7479-4b2e-9961-5adfc5f280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643E2146-5325-41C5-ADA4-9FEFE5740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28025-0c86-453f-9497-197989db0f5c"/>
    <ds:schemaRef ds:uri="76221d59-7479-4b2e-9961-5adfc5f28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668FF-280D-425A-A0BE-956A2485F8B6}">
  <ds:schemaRefs>
    <ds:schemaRef ds:uri="http://schemas.openxmlformats.org/officeDocument/2006/bibliography"/>
  </ds:schemaRefs>
</ds:datastoreItem>
</file>

<file path=customXml/itemProps4.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 - Hampton Plaza</vt:lpstr>
    </vt:vector>
  </TitlesOfParts>
  <Company>New York State - Office of General Services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Hampton Plaza</dc:title>
  <dc:creator>Warner, Jennifer</dc:creator>
  <cp:lastModifiedBy>Braymer, Sarah (HCR)</cp:lastModifiedBy>
  <cp:revision>6</cp:revision>
  <cp:lastPrinted>2015-01-28T19:12:00Z</cp:lastPrinted>
  <dcterms:created xsi:type="dcterms:W3CDTF">2020-07-27T14:44:00Z</dcterms:created>
  <dcterms:modified xsi:type="dcterms:W3CDTF">2021-12-29T16:55:00Z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0x01010009AC3BA13CDF0845B3919E2A51956488</vt:lpwstr>
  </property>
</Properties>
</file>