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5D4684CE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360DAE">
        <w:rPr>
          <w:b/>
        </w:rPr>
        <w:t>May</w:t>
      </w:r>
      <w:r w:rsidR="0098778C">
        <w:rPr>
          <w:b/>
        </w:rPr>
        <w:t xml:space="preserve"> </w:t>
      </w:r>
      <w:r w:rsidR="00360DAE">
        <w:rPr>
          <w:b/>
        </w:rPr>
        <w:t>3</w:t>
      </w:r>
      <w:r w:rsidR="0098778C">
        <w:rPr>
          <w:b/>
        </w:rPr>
        <w:t>1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4F4810">
        <w:rPr>
          <w:b/>
        </w:rPr>
        <w:t>3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1C2B2129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201"/>
        <w:gridCol w:w="1063"/>
        <w:gridCol w:w="2166"/>
      </w:tblGrid>
      <w:tr w:rsidR="004A3F00" w:rsidRPr="009C1CF5" w14:paraId="703047D5" w14:textId="77777777" w:rsidTr="006E19E0">
        <w:tc>
          <w:tcPr>
            <w:tcW w:w="3685" w:type="dxa"/>
            <w:hideMark/>
          </w:tcPr>
          <w:p w14:paraId="112C9268" w14:textId="77777777" w:rsidR="004A3F00" w:rsidRPr="006E19E0" w:rsidRDefault="004A3F00" w:rsidP="00B63921">
            <w:pPr>
              <w:jc w:val="center"/>
              <w:rPr>
                <w:szCs w:val="24"/>
              </w:rPr>
            </w:pPr>
            <w:r w:rsidRPr="006E19E0">
              <w:rPr>
                <w:b/>
                <w:bCs/>
                <w:szCs w:val="24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6E19E0" w:rsidRDefault="004A3F00" w:rsidP="00B63921">
            <w:pPr>
              <w:jc w:val="center"/>
              <w:rPr>
                <w:szCs w:val="24"/>
              </w:rPr>
            </w:pPr>
            <w:r w:rsidRPr="006E19E0">
              <w:rPr>
                <w:b/>
                <w:bCs/>
                <w:szCs w:val="24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6E19E0" w:rsidRDefault="004A3F00" w:rsidP="00B63921">
            <w:pPr>
              <w:jc w:val="center"/>
              <w:rPr>
                <w:szCs w:val="24"/>
              </w:rPr>
            </w:pPr>
            <w:r w:rsidRPr="006E19E0">
              <w:rPr>
                <w:b/>
                <w:bCs/>
                <w:szCs w:val="24"/>
              </w:rPr>
              <w:t>Approx. # Units</w:t>
            </w:r>
          </w:p>
        </w:tc>
        <w:tc>
          <w:tcPr>
            <w:tcW w:w="2166" w:type="dxa"/>
            <w:hideMark/>
          </w:tcPr>
          <w:p w14:paraId="1FB7C0AA" w14:textId="761A60C3" w:rsidR="004A3F00" w:rsidRDefault="004A3F00" w:rsidP="00B63921">
            <w:pPr>
              <w:jc w:val="center"/>
              <w:rPr>
                <w:b/>
                <w:bCs/>
                <w:szCs w:val="24"/>
              </w:rPr>
            </w:pPr>
            <w:r w:rsidRPr="006E19E0">
              <w:rPr>
                <w:b/>
                <w:bCs/>
                <w:szCs w:val="24"/>
              </w:rPr>
              <w:t xml:space="preserve">Estimated not-to-exceed amount of tax-exempt </w:t>
            </w:r>
            <w:r w:rsidR="006E19E0">
              <w:rPr>
                <w:b/>
                <w:bCs/>
                <w:szCs w:val="24"/>
              </w:rPr>
              <w:t>b</w:t>
            </w:r>
            <w:r w:rsidRPr="006E19E0">
              <w:rPr>
                <w:b/>
                <w:bCs/>
                <w:szCs w:val="24"/>
              </w:rPr>
              <w:t>onds</w:t>
            </w:r>
          </w:p>
          <w:p w14:paraId="6AFC680A" w14:textId="198BB552" w:rsidR="006E19E0" w:rsidRPr="006E19E0" w:rsidRDefault="006E19E0" w:rsidP="00B63921">
            <w:pPr>
              <w:jc w:val="center"/>
              <w:rPr>
                <w:szCs w:val="24"/>
              </w:rPr>
            </w:pPr>
          </w:p>
        </w:tc>
      </w:tr>
      <w:tr w:rsidR="00CD10A4" w:rsidRPr="009C1CF5" w14:paraId="29221028" w14:textId="77777777" w:rsidTr="006E19E0">
        <w:tc>
          <w:tcPr>
            <w:tcW w:w="3685" w:type="dxa"/>
          </w:tcPr>
          <w:p w14:paraId="576341B3" w14:textId="687AB5F3" w:rsidR="00CD10A4" w:rsidRPr="00CD10A4" w:rsidRDefault="00E157D7" w:rsidP="00CD10A4">
            <w:pPr>
              <w:spacing w:line="252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Matinecock Court</w:t>
            </w:r>
          </w:p>
          <w:p w14:paraId="15DC660B" w14:textId="40F1FC20" w:rsidR="00CD10A4" w:rsidRPr="00CD10A4" w:rsidRDefault="00E157D7" w:rsidP="00CD10A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Elwood and Pulaski Roads, East Northport, Huntington</w:t>
            </w:r>
            <w:r w:rsidR="00CD10A4" w:rsidRPr="00CD10A4">
              <w:rPr>
                <w:szCs w:val="24"/>
              </w:rPr>
              <w:t>, NY</w:t>
            </w:r>
            <w:r w:rsidR="00307B1C">
              <w:rPr>
                <w:szCs w:val="24"/>
              </w:rPr>
              <w:t xml:space="preserve"> 11731</w:t>
            </w:r>
            <w:r w:rsidR="00CD10A4" w:rsidRPr="00CD10A4">
              <w:rPr>
                <w:szCs w:val="24"/>
              </w:rPr>
              <w:t xml:space="preserve"> </w:t>
            </w:r>
          </w:p>
          <w:p w14:paraId="5542992E" w14:textId="60C0237F" w:rsidR="00CD10A4" w:rsidRPr="00CD10A4" w:rsidRDefault="00CD10A4" w:rsidP="000704EB">
            <w:pPr>
              <w:rPr>
                <w:b/>
                <w:bCs/>
                <w:szCs w:val="24"/>
              </w:rPr>
            </w:pPr>
            <w:r w:rsidRPr="00CD10A4">
              <w:rPr>
                <w:szCs w:val="24"/>
              </w:rPr>
              <w:t>(</w:t>
            </w:r>
            <w:r w:rsidR="00E157D7">
              <w:rPr>
                <w:szCs w:val="24"/>
              </w:rPr>
              <w:t>Suffolk</w:t>
            </w:r>
            <w:r w:rsidRPr="00CD10A4">
              <w:rPr>
                <w:szCs w:val="24"/>
              </w:rPr>
              <w:t xml:space="preserve"> County)</w:t>
            </w:r>
          </w:p>
        </w:tc>
        <w:tc>
          <w:tcPr>
            <w:tcW w:w="3201" w:type="dxa"/>
          </w:tcPr>
          <w:p w14:paraId="76FB51AC" w14:textId="67676AAB" w:rsidR="00CD10A4" w:rsidRPr="00CD10A4" w:rsidRDefault="00E157D7" w:rsidP="00461A44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Matinecock Court,</w:t>
            </w:r>
            <w:r w:rsidR="00CD10A4" w:rsidRPr="00CD10A4">
              <w:rPr>
                <w:szCs w:val="24"/>
              </w:rPr>
              <w:t xml:space="preserve"> LLC, or another single purpose entity controlled by </w:t>
            </w:r>
            <w:r>
              <w:rPr>
                <w:szCs w:val="24"/>
              </w:rPr>
              <w:t>D&amp;F Development Group</w:t>
            </w:r>
          </w:p>
        </w:tc>
        <w:tc>
          <w:tcPr>
            <w:tcW w:w="1062" w:type="dxa"/>
          </w:tcPr>
          <w:p w14:paraId="22793D21" w14:textId="44F7F026" w:rsidR="00CD10A4" w:rsidRPr="00CD10A4" w:rsidRDefault="00E157D7" w:rsidP="00CD10A4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146</w:t>
            </w:r>
          </w:p>
        </w:tc>
        <w:tc>
          <w:tcPr>
            <w:tcW w:w="2166" w:type="dxa"/>
          </w:tcPr>
          <w:p w14:paraId="202AE864" w14:textId="7919BF0C" w:rsidR="00CD10A4" w:rsidRPr="00E157D7" w:rsidRDefault="00E157D7" w:rsidP="00CD10A4">
            <w:pPr>
              <w:rPr>
                <w:szCs w:val="24"/>
              </w:rPr>
            </w:pPr>
            <w:r>
              <w:rPr>
                <w:szCs w:val="24"/>
              </w:rPr>
              <w:t>$60,300,000</w:t>
            </w:r>
          </w:p>
        </w:tc>
      </w:tr>
      <w:tr w:rsidR="006E19E0" w:rsidRPr="009C1CF5" w14:paraId="0F1726CB" w14:textId="77777777" w:rsidTr="006E19E0">
        <w:tc>
          <w:tcPr>
            <w:tcW w:w="3685" w:type="dxa"/>
          </w:tcPr>
          <w:p w14:paraId="6F078A15" w14:textId="77777777" w:rsidR="006E19E0" w:rsidRDefault="006E19E0" w:rsidP="00CD10A4">
            <w:pPr>
              <w:spacing w:line="252" w:lineRule="auto"/>
              <w:rPr>
                <w:b/>
                <w:bCs/>
                <w:szCs w:val="24"/>
              </w:rPr>
            </w:pPr>
          </w:p>
        </w:tc>
        <w:tc>
          <w:tcPr>
            <w:tcW w:w="3201" w:type="dxa"/>
          </w:tcPr>
          <w:p w14:paraId="0F492B10" w14:textId="77777777" w:rsidR="006E19E0" w:rsidRDefault="006E19E0" w:rsidP="00461A44">
            <w:pPr>
              <w:rPr>
                <w:szCs w:val="24"/>
              </w:rPr>
            </w:pPr>
          </w:p>
        </w:tc>
        <w:tc>
          <w:tcPr>
            <w:tcW w:w="1062" w:type="dxa"/>
          </w:tcPr>
          <w:p w14:paraId="0505B9CA" w14:textId="77777777" w:rsidR="006E19E0" w:rsidRDefault="006E19E0" w:rsidP="00CD10A4">
            <w:pPr>
              <w:rPr>
                <w:szCs w:val="24"/>
              </w:rPr>
            </w:pPr>
          </w:p>
        </w:tc>
        <w:tc>
          <w:tcPr>
            <w:tcW w:w="2166" w:type="dxa"/>
          </w:tcPr>
          <w:p w14:paraId="47B53DF8" w14:textId="77777777" w:rsidR="006E19E0" w:rsidRDefault="006E19E0" w:rsidP="00CD10A4">
            <w:pPr>
              <w:rPr>
                <w:szCs w:val="24"/>
              </w:rPr>
            </w:pPr>
          </w:p>
        </w:tc>
      </w:tr>
    </w:tbl>
    <w:tbl>
      <w:tblPr>
        <w:tblW w:w="101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CD10A4" w14:paraId="38A33CB0" w14:textId="77777777" w:rsidTr="006E19E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8CE9" w14:textId="0EB18133" w:rsidR="00CD10A4" w:rsidRPr="00CD10A4" w:rsidRDefault="00461A4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St. Anselm</w:t>
            </w:r>
            <w:r w:rsidR="00CD10A4" w:rsidRPr="00CD10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Apartments </w:t>
            </w:r>
          </w:p>
          <w:p w14:paraId="06E8A44B" w14:textId="7212BF4D" w:rsidR="000704EB" w:rsidRDefault="00461A4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 Tinton Avenue</w:t>
            </w:r>
            <w:r w:rsidR="00CD10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Bronx</w:t>
            </w:r>
            <w:r w:rsidR="00CD10A4">
              <w:rPr>
                <w:rFonts w:ascii="Times New Roman" w:hAnsi="Times New Roman" w:cs="Times New Roman"/>
                <w:sz w:val="24"/>
                <w:szCs w:val="24"/>
              </w:rPr>
              <w:t xml:space="preserve">, 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10455</w:t>
            </w:r>
          </w:p>
          <w:p w14:paraId="6F25B83C" w14:textId="13443B44" w:rsidR="00CD10A4" w:rsidRDefault="00CD10A4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1A44">
              <w:rPr>
                <w:rFonts w:ascii="Times New Roman" w:hAnsi="Times New Roman" w:cs="Times New Roman"/>
                <w:sz w:val="24"/>
                <w:szCs w:val="24"/>
              </w:rPr>
              <w:t>Bronx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5C7E" w14:textId="77777777" w:rsidR="00CD10A4" w:rsidRDefault="00461A44" w:rsidP="00461A4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St. Anselm</w:t>
            </w:r>
            <w:r w:rsidR="00CD10A4">
              <w:rPr>
                <w:szCs w:val="24"/>
              </w:rPr>
              <w:t xml:space="preserve"> Apartments LLC or another single-purpose entity controlled by </w:t>
            </w:r>
            <w:r>
              <w:rPr>
                <w:szCs w:val="24"/>
              </w:rPr>
              <w:t>Housing Initiative Housing Development Fund Corporation</w:t>
            </w:r>
            <w:r w:rsidR="00CD10A4">
              <w:rPr>
                <w:szCs w:val="24"/>
              </w:rPr>
              <w:t xml:space="preserve"> and </w:t>
            </w:r>
            <w:r>
              <w:rPr>
                <w:szCs w:val="24"/>
              </w:rPr>
              <w:t>Safe Haven Housing Inc.</w:t>
            </w:r>
            <w:r w:rsidR="00CD10A4">
              <w:rPr>
                <w:szCs w:val="24"/>
              </w:rPr>
              <w:t xml:space="preserve"> </w:t>
            </w:r>
          </w:p>
          <w:p w14:paraId="117EEC06" w14:textId="77777777" w:rsidR="006E19E0" w:rsidRDefault="006E19E0" w:rsidP="00461A44">
            <w:pPr>
              <w:spacing w:line="252" w:lineRule="auto"/>
              <w:rPr>
                <w:szCs w:val="24"/>
              </w:rPr>
            </w:pPr>
          </w:p>
          <w:p w14:paraId="179039A7" w14:textId="0637E91B" w:rsidR="006E19E0" w:rsidRDefault="006E19E0" w:rsidP="00461A44">
            <w:pPr>
              <w:spacing w:line="252" w:lineRule="auto"/>
              <w:rPr>
                <w:sz w:val="20"/>
              </w:rPr>
            </w:pP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6E2C" w14:textId="56F2F26C" w:rsidR="00CD10A4" w:rsidRDefault="00DA1FD2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51CC" w14:textId="002F3001" w:rsidR="00CD10A4" w:rsidRDefault="00CD10A4" w:rsidP="00CD10A4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DA1FD2">
              <w:rPr>
                <w:szCs w:val="24"/>
              </w:rPr>
              <w:t>52</w:t>
            </w:r>
            <w:r>
              <w:rPr>
                <w:szCs w:val="24"/>
              </w:rPr>
              <w:t>,</w:t>
            </w:r>
            <w:r w:rsidR="00DA1FD2">
              <w:rPr>
                <w:szCs w:val="24"/>
              </w:rPr>
              <w:t>190</w:t>
            </w:r>
            <w:r>
              <w:rPr>
                <w:szCs w:val="24"/>
              </w:rPr>
              <w:t>,000</w:t>
            </w:r>
          </w:p>
          <w:p w14:paraId="1F41C159" w14:textId="77777777" w:rsidR="00CD10A4" w:rsidRDefault="00CD10A4">
            <w:pPr>
              <w:spacing w:line="252" w:lineRule="auto"/>
              <w:jc w:val="center"/>
              <w:rPr>
                <w:szCs w:val="24"/>
              </w:rPr>
            </w:pPr>
          </w:p>
        </w:tc>
      </w:tr>
      <w:tr w:rsidR="000704EB" w14:paraId="1105E622" w14:textId="77777777" w:rsidTr="006E19E0"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63B9" w14:textId="47A82571" w:rsidR="000704EB" w:rsidRPr="000704EB" w:rsidRDefault="00DA1FD2" w:rsidP="000704EB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Francis John Apartments and Frederick Douglass Towers Phase II</w:t>
            </w:r>
          </w:p>
          <w:p w14:paraId="0E806AEA" w14:textId="2C74A7DD" w:rsidR="000704EB" w:rsidRDefault="00DA1FD2" w:rsidP="000704EB">
            <w:pPr>
              <w:rPr>
                <w:szCs w:val="24"/>
              </w:rPr>
            </w:pPr>
            <w:r w:rsidRPr="00DA1FD2">
              <w:rPr>
                <w:szCs w:val="24"/>
              </w:rPr>
              <w:t>1201 Broadway, Buffalo NY 14212</w:t>
            </w:r>
            <w:r>
              <w:rPr>
                <w:szCs w:val="24"/>
              </w:rPr>
              <w:t xml:space="preserve"> and </w:t>
            </w:r>
            <w:r w:rsidRPr="00DA1FD2">
              <w:rPr>
                <w:szCs w:val="24"/>
              </w:rPr>
              <w:t xml:space="preserve">210 Jefferson Ave, Buffalo, NY 14204 </w:t>
            </w:r>
            <w:r w:rsidR="000704EB" w:rsidRPr="000704EB">
              <w:rPr>
                <w:szCs w:val="24"/>
              </w:rPr>
              <w:t>(</w:t>
            </w:r>
            <w:r>
              <w:rPr>
                <w:szCs w:val="24"/>
              </w:rPr>
              <w:t>Erie</w:t>
            </w:r>
            <w:r w:rsidR="000704EB" w:rsidRPr="000704EB">
              <w:rPr>
                <w:szCs w:val="24"/>
              </w:rPr>
              <w:t xml:space="preserve"> County)</w:t>
            </w:r>
          </w:p>
          <w:p w14:paraId="3F296384" w14:textId="77777777" w:rsidR="006E19E0" w:rsidRDefault="006E19E0" w:rsidP="000704EB">
            <w:pPr>
              <w:rPr>
                <w:szCs w:val="24"/>
              </w:rPr>
            </w:pPr>
          </w:p>
          <w:p w14:paraId="4DA75644" w14:textId="77777777" w:rsidR="006E19E0" w:rsidRPr="000704EB" w:rsidRDefault="006E19E0" w:rsidP="000704EB">
            <w:pPr>
              <w:rPr>
                <w:szCs w:val="24"/>
              </w:rPr>
            </w:pPr>
          </w:p>
          <w:p w14:paraId="31FE681F" w14:textId="41CA9A19" w:rsidR="000704EB" w:rsidRPr="000704EB" w:rsidRDefault="000704EB" w:rsidP="000704EB">
            <w:pPr>
              <w:pStyle w:val="xmsonormal"/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320D" w14:textId="6CD82316" w:rsidR="000704EB" w:rsidRPr="000704EB" w:rsidRDefault="00DA1FD2" w:rsidP="000704EB">
            <w:pPr>
              <w:spacing w:line="252" w:lineRule="auto"/>
              <w:jc w:val="both"/>
              <w:rPr>
                <w:szCs w:val="24"/>
              </w:rPr>
            </w:pPr>
            <w:bookmarkStart w:id="0" w:name="_Hlk94192307"/>
            <w:r>
              <w:rPr>
                <w:szCs w:val="24"/>
              </w:rPr>
              <w:t>FJA-FDII Development LLC</w:t>
            </w:r>
            <w:r w:rsidR="000704EB" w:rsidRPr="000704EB">
              <w:rPr>
                <w:szCs w:val="24"/>
              </w:rPr>
              <w:t xml:space="preserve"> </w:t>
            </w:r>
            <w:bookmarkEnd w:id="0"/>
            <w:r w:rsidR="000704EB" w:rsidRPr="000704EB">
              <w:rPr>
                <w:szCs w:val="24"/>
              </w:rPr>
              <w:t>or another single</w:t>
            </w:r>
            <w:r>
              <w:rPr>
                <w:szCs w:val="24"/>
              </w:rPr>
              <w:t>-</w:t>
            </w:r>
            <w:r w:rsidR="000704EB" w:rsidRPr="000704EB">
              <w:rPr>
                <w:szCs w:val="24"/>
              </w:rPr>
              <w:t xml:space="preserve">purpose entity controlled by </w:t>
            </w:r>
            <w:r>
              <w:rPr>
                <w:szCs w:val="24"/>
              </w:rPr>
              <w:t>Bridges Development</w:t>
            </w:r>
            <w:r w:rsidR="000704EB" w:rsidRPr="000704EB">
              <w:rPr>
                <w:szCs w:val="24"/>
              </w:rPr>
              <w:t xml:space="preserve"> Inc.</w:t>
            </w:r>
          </w:p>
        </w:tc>
        <w:tc>
          <w:tcPr>
            <w:tcW w:w="1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C675" w14:textId="3BDD5B28" w:rsidR="000704EB" w:rsidRPr="000704EB" w:rsidRDefault="00DA1FD2" w:rsidP="000704EB">
            <w:pP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174</w:t>
            </w:r>
          </w:p>
        </w:tc>
        <w:tc>
          <w:tcPr>
            <w:tcW w:w="21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5703" w14:textId="43356C3B" w:rsidR="000704EB" w:rsidRPr="000704EB" w:rsidRDefault="000704EB" w:rsidP="000704EB">
            <w:pPr>
              <w:spacing w:line="252" w:lineRule="auto"/>
              <w:rPr>
                <w:szCs w:val="24"/>
              </w:rPr>
            </w:pPr>
            <w:r w:rsidRPr="000704EB">
              <w:rPr>
                <w:szCs w:val="24"/>
              </w:rPr>
              <w:t>$</w:t>
            </w:r>
            <w:r w:rsidR="00DA1FD2">
              <w:rPr>
                <w:szCs w:val="24"/>
              </w:rPr>
              <w:t>25,55</w:t>
            </w:r>
            <w:r w:rsidRPr="000704EB">
              <w:rPr>
                <w:szCs w:val="24"/>
              </w:rPr>
              <w:t>5,000</w:t>
            </w:r>
          </w:p>
        </w:tc>
      </w:tr>
    </w:tbl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CD10A4" w:rsidRPr="009C1CF5" w14:paraId="76A4DF91" w14:textId="77777777" w:rsidTr="006E19E0">
        <w:tc>
          <w:tcPr>
            <w:tcW w:w="3685" w:type="dxa"/>
          </w:tcPr>
          <w:p w14:paraId="7E4656BF" w14:textId="084FE1A4" w:rsidR="00CD10A4" w:rsidRPr="00CD10A4" w:rsidRDefault="00DA1FD2" w:rsidP="00CD10A4">
            <w:pPr>
              <w:spacing w:line="252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Wyandanch Building L</w:t>
            </w:r>
          </w:p>
          <w:p w14:paraId="27F1CFF1" w14:textId="198B101A" w:rsidR="00CD10A4" w:rsidRPr="00CD10A4" w:rsidRDefault="001F3DED" w:rsidP="00CD10A4">
            <w:pPr>
              <w:rPr>
                <w:b/>
                <w:bCs/>
                <w:szCs w:val="24"/>
              </w:rPr>
            </w:pPr>
            <w:r w:rsidRPr="001F3DED">
              <w:rPr>
                <w:szCs w:val="24"/>
              </w:rPr>
              <w:t xml:space="preserve">300 Long Island Avenue, Wyandanch, Babylon, NY, 11798 </w:t>
            </w:r>
            <w:r w:rsidR="00CD10A4" w:rsidRPr="00CD10A4">
              <w:rPr>
                <w:szCs w:val="24"/>
              </w:rPr>
              <w:t>(</w:t>
            </w:r>
            <w:r>
              <w:rPr>
                <w:szCs w:val="24"/>
              </w:rPr>
              <w:t>Suffolk</w:t>
            </w:r>
            <w:r w:rsidR="00CD10A4" w:rsidRPr="00CD10A4">
              <w:rPr>
                <w:szCs w:val="24"/>
              </w:rPr>
              <w:t xml:space="preserve"> County)</w:t>
            </w:r>
          </w:p>
        </w:tc>
        <w:tc>
          <w:tcPr>
            <w:tcW w:w="3201" w:type="dxa"/>
          </w:tcPr>
          <w:p w14:paraId="02C30A40" w14:textId="3A54B07B" w:rsidR="00CD10A4" w:rsidRPr="00CD10A4" w:rsidRDefault="001F3DED" w:rsidP="00CD10A4">
            <w:pPr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WR Communities-L</w:t>
            </w:r>
            <w:r w:rsidR="00CD10A4" w:rsidRPr="00CD10A4">
              <w:rPr>
                <w:color w:val="000000"/>
                <w:szCs w:val="24"/>
              </w:rPr>
              <w:t xml:space="preserve"> LLC, or another single</w:t>
            </w:r>
            <w:r>
              <w:rPr>
                <w:color w:val="000000"/>
                <w:szCs w:val="24"/>
              </w:rPr>
              <w:t>-</w:t>
            </w:r>
            <w:r w:rsidR="00CD10A4" w:rsidRPr="00CD10A4">
              <w:rPr>
                <w:color w:val="000000"/>
                <w:szCs w:val="24"/>
              </w:rPr>
              <w:t xml:space="preserve">purpose entity controlled by </w:t>
            </w:r>
            <w:r>
              <w:rPr>
                <w:color w:val="000000"/>
                <w:szCs w:val="24"/>
              </w:rPr>
              <w:t>Albanese Organization</w:t>
            </w:r>
            <w:r w:rsidR="00CD10A4" w:rsidRPr="00CD10A4">
              <w:rPr>
                <w:color w:val="000000"/>
                <w:szCs w:val="24"/>
              </w:rPr>
              <w:t xml:space="preserve">, Inc. </w:t>
            </w:r>
          </w:p>
        </w:tc>
        <w:tc>
          <w:tcPr>
            <w:tcW w:w="1062" w:type="dxa"/>
          </w:tcPr>
          <w:p w14:paraId="0F6CE77C" w14:textId="7E6FE3E2" w:rsidR="00CD10A4" w:rsidRPr="00CD10A4" w:rsidRDefault="001F3DED" w:rsidP="00CD10A4">
            <w:pPr>
              <w:rPr>
                <w:b/>
                <w:bCs/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2166" w:type="dxa"/>
          </w:tcPr>
          <w:p w14:paraId="5FF9364C" w14:textId="74DD1ED1" w:rsidR="00CD10A4" w:rsidRPr="0099507B" w:rsidRDefault="00CD10A4" w:rsidP="00CD10A4">
            <w:pPr>
              <w:rPr>
                <w:b/>
                <w:bCs/>
                <w:szCs w:val="24"/>
              </w:rPr>
            </w:pPr>
            <w:r w:rsidRPr="0099507B">
              <w:rPr>
                <w:szCs w:val="24"/>
              </w:rPr>
              <w:t>$</w:t>
            </w:r>
            <w:r w:rsidR="00F67B27">
              <w:rPr>
                <w:szCs w:val="24"/>
              </w:rPr>
              <w:t>8</w:t>
            </w:r>
            <w:r w:rsidR="00D901C5">
              <w:rPr>
                <w:szCs w:val="24"/>
              </w:rPr>
              <w:t>9</w:t>
            </w:r>
            <w:r w:rsidR="00F67B27">
              <w:rPr>
                <w:szCs w:val="24"/>
              </w:rPr>
              <w:t>,</w:t>
            </w:r>
            <w:r w:rsidR="00D901C5">
              <w:rPr>
                <w:szCs w:val="24"/>
              </w:rPr>
              <w:t>4</w:t>
            </w:r>
            <w:r w:rsidR="00F67B27">
              <w:rPr>
                <w:szCs w:val="24"/>
              </w:rPr>
              <w:t>20,000</w:t>
            </w:r>
          </w:p>
        </w:tc>
      </w:tr>
      <w:tr w:rsidR="00127B5F" w:rsidRPr="009C1CF5" w14:paraId="0EF703F9" w14:textId="77777777" w:rsidTr="006E19E0">
        <w:tc>
          <w:tcPr>
            <w:tcW w:w="3685" w:type="dxa"/>
          </w:tcPr>
          <w:p w14:paraId="1B8D54DF" w14:textId="7E978B69" w:rsidR="00127B5F" w:rsidRPr="00CD10A4" w:rsidRDefault="00127B5F" w:rsidP="00127B5F">
            <w:pPr>
              <w:spacing w:line="252" w:lineRule="auto"/>
              <w:rPr>
                <w:b/>
                <w:bCs/>
                <w:szCs w:val="24"/>
              </w:rPr>
            </w:pPr>
          </w:p>
        </w:tc>
        <w:tc>
          <w:tcPr>
            <w:tcW w:w="3201" w:type="dxa"/>
          </w:tcPr>
          <w:p w14:paraId="17FDBB97" w14:textId="7E31C818" w:rsidR="00127B5F" w:rsidRPr="00CD10A4" w:rsidRDefault="00127B5F" w:rsidP="00127B5F">
            <w:pPr>
              <w:rPr>
                <w:color w:val="000000"/>
                <w:szCs w:val="24"/>
              </w:rPr>
            </w:pPr>
          </w:p>
        </w:tc>
        <w:tc>
          <w:tcPr>
            <w:tcW w:w="1062" w:type="dxa"/>
          </w:tcPr>
          <w:p w14:paraId="7C125BC1" w14:textId="29FD8706" w:rsidR="00127B5F" w:rsidRPr="00CD10A4" w:rsidRDefault="00127B5F" w:rsidP="00127B5F">
            <w:pPr>
              <w:rPr>
                <w:szCs w:val="24"/>
              </w:rPr>
            </w:pPr>
          </w:p>
        </w:tc>
        <w:tc>
          <w:tcPr>
            <w:tcW w:w="2166" w:type="dxa"/>
          </w:tcPr>
          <w:p w14:paraId="6756FB63" w14:textId="229E3254" w:rsidR="00127B5F" w:rsidRPr="0099507B" w:rsidRDefault="00127B5F" w:rsidP="00127B5F">
            <w:pPr>
              <w:rPr>
                <w:szCs w:val="24"/>
              </w:rPr>
            </w:pPr>
          </w:p>
        </w:tc>
      </w:tr>
      <w:tr w:rsidR="0080015C" w:rsidRPr="009C1CF5" w14:paraId="254FCEC6" w14:textId="77777777" w:rsidTr="006E19E0">
        <w:trPr>
          <w:trHeight w:val="1215"/>
        </w:trPr>
        <w:tc>
          <w:tcPr>
            <w:tcW w:w="3685" w:type="dxa"/>
          </w:tcPr>
          <w:p w14:paraId="7020D0B0" w14:textId="431EF243" w:rsidR="0080015C" w:rsidRDefault="001F3DED" w:rsidP="0080015C">
            <w:pPr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The St. Clair</w:t>
            </w:r>
          </w:p>
          <w:p w14:paraId="46F63AC5" w14:textId="73787ABE" w:rsidR="00116F1D" w:rsidRDefault="001F3DED" w:rsidP="0080015C">
            <w:bookmarkStart w:id="1" w:name="_Hlk128558714"/>
            <w:r>
              <w:t>34, 36 and 38 Main Street</w:t>
            </w:r>
          </w:p>
          <w:bookmarkEnd w:id="1"/>
          <w:p w14:paraId="43F92691" w14:textId="104BB9F1" w:rsidR="0080015C" w:rsidRDefault="001F3DED" w:rsidP="0080015C">
            <w:r>
              <w:t>Yonkers</w:t>
            </w:r>
            <w:r w:rsidR="0080015C">
              <w:t xml:space="preserve">, NY </w:t>
            </w:r>
            <w:r>
              <w:t>10701</w:t>
            </w:r>
          </w:p>
          <w:p w14:paraId="6BCCD80B" w14:textId="4FE9F86D" w:rsidR="0080015C" w:rsidRPr="0099507B" w:rsidRDefault="0080015C" w:rsidP="0080015C">
            <w:pPr>
              <w:rPr>
                <w:b/>
                <w:bCs/>
                <w:szCs w:val="24"/>
              </w:rPr>
            </w:pPr>
            <w:r>
              <w:t>(</w:t>
            </w:r>
            <w:r w:rsidR="001F3DED">
              <w:t>Westchester</w:t>
            </w:r>
            <w:r>
              <w:t xml:space="preserve"> County)</w:t>
            </w:r>
          </w:p>
        </w:tc>
        <w:tc>
          <w:tcPr>
            <w:tcW w:w="3201" w:type="dxa"/>
          </w:tcPr>
          <w:p w14:paraId="2C891043" w14:textId="2040F3B6" w:rsidR="0080015C" w:rsidRPr="0099507B" w:rsidRDefault="001F3DED" w:rsidP="0080015C">
            <w:pPr>
              <w:rPr>
                <w:szCs w:val="24"/>
              </w:rPr>
            </w:pPr>
            <w:r>
              <w:t xml:space="preserve">St. Clair Owners </w:t>
            </w:r>
            <w:r w:rsidR="0080015C">
              <w:t>LLC, or another single</w:t>
            </w:r>
            <w:r>
              <w:t>-</w:t>
            </w:r>
            <w:r w:rsidR="0080015C">
              <w:t xml:space="preserve">purpose entity controlled by </w:t>
            </w:r>
            <w:r w:rsidR="00784CBF">
              <w:t>Rella Fogliano</w:t>
            </w:r>
          </w:p>
        </w:tc>
        <w:tc>
          <w:tcPr>
            <w:tcW w:w="1062" w:type="dxa"/>
          </w:tcPr>
          <w:p w14:paraId="2141B455" w14:textId="163E275D" w:rsidR="0080015C" w:rsidRPr="0099507B" w:rsidRDefault="001F3DED" w:rsidP="0080015C">
            <w:pPr>
              <w:rPr>
                <w:szCs w:val="24"/>
              </w:rPr>
            </w:pPr>
            <w:r>
              <w:t>76</w:t>
            </w:r>
          </w:p>
        </w:tc>
        <w:tc>
          <w:tcPr>
            <w:tcW w:w="2166" w:type="dxa"/>
          </w:tcPr>
          <w:p w14:paraId="70AFDA1F" w14:textId="42175061" w:rsidR="0080015C" w:rsidRPr="0099507B" w:rsidRDefault="0080015C" w:rsidP="0080015C">
            <w:pPr>
              <w:rPr>
                <w:szCs w:val="24"/>
              </w:rPr>
            </w:pPr>
            <w:r>
              <w:t>$</w:t>
            </w:r>
            <w:r w:rsidR="001F3DED">
              <w:t>34</w:t>
            </w:r>
            <w:r>
              <w:t>,</w:t>
            </w:r>
            <w:r w:rsidR="001F3DED">
              <w:t>000</w:t>
            </w:r>
            <w:r>
              <w:t>,000</w:t>
            </w:r>
          </w:p>
        </w:tc>
      </w:tr>
    </w:tbl>
    <w:p w14:paraId="2C3571DC" w14:textId="77777777" w:rsidR="004A3F00" w:rsidRPr="009C1CF5" w:rsidRDefault="004A3F00" w:rsidP="004A3F00"/>
    <w:p w14:paraId="195DC37D" w14:textId="5B2B2BB4" w:rsidR="001F0C46" w:rsidRDefault="007E645B" w:rsidP="001F0C46">
      <w:pPr>
        <w:spacing w:before="120" w:after="120"/>
        <w:jc w:val="both"/>
      </w:pPr>
      <w:r w:rsidRPr="00833A31"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 xml:space="preserve">Charni Sochet, </w:t>
      </w:r>
      <w:r w:rsidR="00461A44">
        <w:t>Director of Communications</w:t>
      </w:r>
      <w:r w:rsidR="0063775E" w:rsidRPr="00833A31">
        <w:t>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</w:t>
      </w:r>
      <w:r w:rsidR="00461A44">
        <w:t xml:space="preserve"> </w:t>
      </w:r>
      <w:hyperlink r:id="rId8" w:history="1">
        <w:r w:rsidR="00461A44" w:rsidRPr="00ED3EDF">
          <w:rPr>
            <w:rStyle w:val="Hyperlink"/>
          </w:rPr>
          <w:t>Charni.Sochet@hcr.ny.gov</w:t>
        </w:r>
      </w:hyperlink>
      <w:r w:rsidR="001F0C46">
        <w:t>.</w:t>
      </w:r>
    </w:p>
    <w:p w14:paraId="3D215F96" w14:textId="08BAB7D4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9" w:history="1">
        <w:r w:rsidR="00461A44" w:rsidRPr="00ED3EDF">
          <w:rPr>
            <w:rStyle w:val="Hyperlink"/>
          </w:rPr>
          <w:t>Charni.Sochet@hcr.ny.gov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307B1C">
        <w:t>May 30</w:t>
      </w:r>
      <w:r w:rsidR="008B1E5D" w:rsidRPr="00833A31">
        <w:t>, 20</w:t>
      </w:r>
      <w:r w:rsidR="000E0930">
        <w:t>2</w:t>
      </w:r>
      <w:r w:rsidR="004F4810">
        <w:t>3</w:t>
      </w:r>
      <w:r w:rsidRPr="00833A31">
        <w:t>.</w:t>
      </w: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6E19E0">
      <w:footerReference w:type="default" r:id="rId10"/>
      <w:pgSz w:w="12240" w:h="15840"/>
      <w:pgMar w:top="1152" w:right="1008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EC4FA" w14:textId="77777777" w:rsidR="006E19E0" w:rsidRDefault="006E19E0" w:rsidP="006E19E0">
      <w:r>
        <w:separator/>
      </w:r>
    </w:p>
  </w:endnote>
  <w:endnote w:type="continuationSeparator" w:id="0">
    <w:p w14:paraId="2C1419FB" w14:textId="77777777" w:rsidR="006E19E0" w:rsidRDefault="006E19E0" w:rsidP="006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4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2033B" w14:textId="160FE0EB" w:rsidR="006E19E0" w:rsidRDefault="006E1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3BA533" w14:textId="77777777" w:rsidR="006E19E0" w:rsidRDefault="006E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8186" w14:textId="77777777" w:rsidR="006E19E0" w:rsidRDefault="006E19E0" w:rsidP="006E19E0">
      <w:r>
        <w:separator/>
      </w:r>
    </w:p>
  </w:footnote>
  <w:footnote w:type="continuationSeparator" w:id="0">
    <w:p w14:paraId="520DB4A0" w14:textId="77777777" w:rsidR="006E19E0" w:rsidRDefault="006E19E0" w:rsidP="006E1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041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04EB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0F6884"/>
    <w:rsid w:val="00100DA0"/>
    <w:rsid w:val="001020BC"/>
    <w:rsid w:val="00103783"/>
    <w:rsid w:val="00105A1D"/>
    <w:rsid w:val="00105D01"/>
    <w:rsid w:val="00116F1D"/>
    <w:rsid w:val="0012309A"/>
    <w:rsid w:val="00123BE0"/>
    <w:rsid w:val="0012417D"/>
    <w:rsid w:val="00126628"/>
    <w:rsid w:val="00127B5F"/>
    <w:rsid w:val="00133439"/>
    <w:rsid w:val="00135F11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3DED"/>
    <w:rsid w:val="001F6284"/>
    <w:rsid w:val="001F7739"/>
    <w:rsid w:val="001F7CDD"/>
    <w:rsid w:val="00200793"/>
    <w:rsid w:val="00210D2F"/>
    <w:rsid w:val="00213B00"/>
    <w:rsid w:val="0022445F"/>
    <w:rsid w:val="00224B46"/>
    <w:rsid w:val="00225067"/>
    <w:rsid w:val="00226547"/>
    <w:rsid w:val="0023176D"/>
    <w:rsid w:val="00236C98"/>
    <w:rsid w:val="0023735D"/>
    <w:rsid w:val="00237ECE"/>
    <w:rsid w:val="0024023B"/>
    <w:rsid w:val="00241268"/>
    <w:rsid w:val="00243531"/>
    <w:rsid w:val="0024567E"/>
    <w:rsid w:val="0025046C"/>
    <w:rsid w:val="002526B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77A6A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07B1C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60DAE"/>
    <w:rsid w:val="00373513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47BD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4651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A44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3F00"/>
    <w:rsid w:val="004A6956"/>
    <w:rsid w:val="004B3A4E"/>
    <w:rsid w:val="004B566E"/>
    <w:rsid w:val="004B679B"/>
    <w:rsid w:val="004B690A"/>
    <w:rsid w:val="004C01A7"/>
    <w:rsid w:val="004D55D9"/>
    <w:rsid w:val="004E1A3F"/>
    <w:rsid w:val="004E39EB"/>
    <w:rsid w:val="004F4810"/>
    <w:rsid w:val="004F7D5A"/>
    <w:rsid w:val="00505F50"/>
    <w:rsid w:val="00506DEA"/>
    <w:rsid w:val="00511440"/>
    <w:rsid w:val="00516403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B7339"/>
    <w:rsid w:val="005C4803"/>
    <w:rsid w:val="005C6839"/>
    <w:rsid w:val="005C7218"/>
    <w:rsid w:val="005C76D3"/>
    <w:rsid w:val="005D0519"/>
    <w:rsid w:val="005D7889"/>
    <w:rsid w:val="005E4782"/>
    <w:rsid w:val="005E6842"/>
    <w:rsid w:val="005F0661"/>
    <w:rsid w:val="005F33B3"/>
    <w:rsid w:val="005F5D36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12BB"/>
    <w:rsid w:val="006E19E0"/>
    <w:rsid w:val="006E30D3"/>
    <w:rsid w:val="006E4324"/>
    <w:rsid w:val="006F502B"/>
    <w:rsid w:val="006F52E5"/>
    <w:rsid w:val="00704AC0"/>
    <w:rsid w:val="00706231"/>
    <w:rsid w:val="007073D6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37151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4CBF"/>
    <w:rsid w:val="00786D87"/>
    <w:rsid w:val="00786E1D"/>
    <w:rsid w:val="00793A44"/>
    <w:rsid w:val="00793F28"/>
    <w:rsid w:val="007A1C8D"/>
    <w:rsid w:val="007A4997"/>
    <w:rsid w:val="007B015E"/>
    <w:rsid w:val="007B2820"/>
    <w:rsid w:val="007B2F16"/>
    <w:rsid w:val="007C1D29"/>
    <w:rsid w:val="007C3FD1"/>
    <w:rsid w:val="007C4D08"/>
    <w:rsid w:val="007E22D4"/>
    <w:rsid w:val="007E613A"/>
    <w:rsid w:val="007E645B"/>
    <w:rsid w:val="007F0EE4"/>
    <w:rsid w:val="007F7F01"/>
    <w:rsid w:val="0080015C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85F7A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3974"/>
    <w:rsid w:val="00955916"/>
    <w:rsid w:val="0096042B"/>
    <w:rsid w:val="00963970"/>
    <w:rsid w:val="00970884"/>
    <w:rsid w:val="00973252"/>
    <w:rsid w:val="009759A2"/>
    <w:rsid w:val="00983E82"/>
    <w:rsid w:val="009867EA"/>
    <w:rsid w:val="0098778C"/>
    <w:rsid w:val="00991668"/>
    <w:rsid w:val="00992733"/>
    <w:rsid w:val="00994721"/>
    <w:rsid w:val="0099507B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3FED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3FE6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4A5B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009"/>
    <w:rsid w:val="00BA25BF"/>
    <w:rsid w:val="00BA4106"/>
    <w:rsid w:val="00BB0BC8"/>
    <w:rsid w:val="00BB332C"/>
    <w:rsid w:val="00BC2914"/>
    <w:rsid w:val="00BC57A9"/>
    <w:rsid w:val="00BD1048"/>
    <w:rsid w:val="00BD7F6F"/>
    <w:rsid w:val="00BE09FC"/>
    <w:rsid w:val="00BF65A4"/>
    <w:rsid w:val="00BF7A0A"/>
    <w:rsid w:val="00C017E4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68DF"/>
    <w:rsid w:val="00CA7924"/>
    <w:rsid w:val="00CB0489"/>
    <w:rsid w:val="00CB1965"/>
    <w:rsid w:val="00CB74FE"/>
    <w:rsid w:val="00CD0E39"/>
    <w:rsid w:val="00CD10A4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35C81"/>
    <w:rsid w:val="00D41597"/>
    <w:rsid w:val="00D419FD"/>
    <w:rsid w:val="00D507CA"/>
    <w:rsid w:val="00D52918"/>
    <w:rsid w:val="00D54920"/>
    <w:rsid w:val="00D6279E"/>
    <w:rsid w:val="00D62E8F"/>
    <w:rsid w:val="00D65B4B"/>
    <w:rsid w:val="00D6762D"/>
    <w:rsid w:val="00D70B62"/>
    <w:rsid w:val="00D7208A"/>
    <w:rsid w:val="00D80B1F"/>
    <w:rsid w:val="00D87C8F"/>
    <w:rsid w:val="00D87D3F"/>
    <w:rsid w:val="00D901C5"/>
    <w:rsid w:val="00D94153"/>
    <w:rsid w:val="00D96429"/>
    <w:rsid w:val="00D974FC"/>
    <w:rsid w:val="00DA1FD2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157D7"/>
    <w:rsid w:val="00E259A4"/>
    <w:rsid w:val="00E303A3"/>
    <w:rsid w:val="00E37C8C"/>
    <w:rsid w:val="00E42F06"/>
    <w:rsid w:val="00E4545E"/>
    <w:rsid w:val="00E45B4A"/>
    <w:rsid w:val="00E475E2"/>
    <w:rsid w:val="00E5083C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33E7"/>
    <w:rsid w:val="00F03D8D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67B27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27F"/>
    <w:rsid w:val="00FD0391"/>
    <w:rsid w:val="00FD1B60"/>
    <w:rsid w:val="00FD3658"/>
    <w:rsid w:val="00FD5BBA"/>
    <w:rsid w:val="00FD754C"/>
    <w:rsid w:val="00FD7F4C"/>
    <w:rsid w:val="00FE2633"/>
    <w:rsid w:val="00FE3F75"/>
    <w:rsid w:val="00FF07B0"/>
    <w:rsid w:val="00FF4E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  <w:style w:type="character" w:customStyle="1" w:styleId="spelle">
    <w:name w:val="spelle"/>
    <w:basedOn w:val="DefaultParagraphFont"/>
    <w:rsid w:val="000704EB"/>
  </w:style>
  <w:style w:type="character" w:styleId="UnresolvedMention">
    <w:name w:val="Unresolved Mention"/>
    <w:basedOn w:val="DefaultParagraphFont"/>
    <w:uiPriority w:val="99"/>
    <w:semiHidden/>
    <w:unhideWhenUsed/>
    <w:rsid w:val="00461A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6E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9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E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9E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ni.Sochet@hcr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ni.Sochet@hcr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1847-902A-46D8-A69C-22E6E950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Tereshchenko, Bogdan (HCR)</cp:lastModifiedBy>
  <cp:revision>6</cp:revision>
  <cp:lastPrinted>2023-02-14T13:04:00Z</cp:lastPrinted>
  <dcterms:created xsi:type="dcterms:W3CDTF">2023-05-03T16:23:00Z</dcterms:created>
  <dcterms:modified xsi:type="dcterms:W3CDTF">2023-05-08T13:39:00Z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30226743-e883-4ca6-b16a-54204f4575ea</vt:lpwstr>
  </property>
</Properties>
</file>