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>”) and the issuance of tax-exempt and/or taxable multifamily housing revenue bonds (“Bonds”) for the purpose of providing a portion of the funds by making one or more mortgage loans in order to (</w:t>
      </w:r>
      <w:proofErr w:type="spellStart"/>
      <w:r w:rsidRPr="00833A31">
        <w:t>i</w:t>
      </w:r>
      <w:proofErr w:type="spellEnd"/>
      <w:r w:rsidRPr="00833A31">
        <w:t xml:space="preserve">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 xml:space="preserve">, (ii) finance reserve funds and/or costs of issuance related to the Bonds, and/or (iii) refund bonds of the Agency </w:t>
      </w:r>
      <w:proofErr w:type="gramStart"/>
      <w:r w:rsidRPr="00080A1A">
        <w:t>in order to</w:t>
      </w:r>
      <w:proofErr w:type="gramEnd"/>
      <w:r w:rsidRPr="00080A1A">
        <w:t xml:space="preserve">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580F2D3E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DC6F93">
        <w:rPr>
          <w:b/>
        </w:rPr>
        <w:t>September 15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F1479C">
        <w:rPr>
          <w:b/>
        </w:rPr>
        <w:t>1</w:t>
      </w:r>
      <w:r w:rsidR="00BC57A9">
        <w:rPr>
          <w:b/>
        </w:rPr>
        <w:t>0</w:t>
      </w:r>
      <w:r w:rsidR="00340DD9" w:rsidRPr="00B51B48">
        <w:rPr>
          <w:b/>
        </w:rPr>
        <w:t>:</w:t>
      </w:r>
      <w:r w:rsidR="00BC57A9">
        <w:rPr>
          <w:b/>
        </w:rPr>
        <w:t>3</w:t>
      </w:r>
      <w:r w:rsidR="00340DD9" w:rsidRPr="00B51B48">
        <w:rPr>
          <w:b/>
        </w:rPr>
        <w:t>0</w:t>
      </w:r>
      <w:r w:rsidR="00F4300A" w:rsidRPr="00B51B48">
        <w:rPr>
          <w:b/>
        </w:rPr>
        <w:t xml:space="preserve"> </w:t>
      </w:r>
      <w:r w:rsidR="00F1479C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DC6F93" w:rsidRPr="009C1CF5" w14:paraId="65DB3F4A" w14:textId="77777777" w:rsidTr="003C0D10">
        <w:tc>
          <w:tcPr>
            <w:tcW w:w="3685" w:type="dxa"/>
            <w:hideMark/>
          </w:tcPr>
          <w:p w14:paraId="2885E578" w14:textId="77777777" w:rsidR="00DC6F93" w:rsidRPr="002905A2" w:rsidRDefault="00DC6F93" w:rsidP="00DC6F93">
            <w:pPr>
              <w:rPr>
                <w:b/>
                <w:sz w:val="20"/>
              </w:rPr>
            </w:pPr>
            <w:r w:rsidRPr="002905A2">
              <w:rPr>
                <w:b/>
                <w:sz w:val="20"/>
              </w:rPr>
              <w:t>Brewster Mews</w:t>
            </w:r>
          </w:p>
          <w:p w14:paraId="33C0E59E" w14:textId="77777777" w:rsidR="00DC6F93" w:rsidRPr="002905A2" w:rsidRDefault="00DC6F93" w:rsidP="00DC6F93">
            <w:pPr>
              <w:rPr>
                <w:sz w:val="20"/>
              </w:rPr>
            </w:pPr>
            <w:r w:rsidRPr="006A1E9C">
              <w:rPr>
                <w:sz w:val="20"/>
              </w:rPr>
              <w:t>925 Robin Road (aka 501-511 Robin Road and Little Robin Road and 910-937 Robin Road)</w:t>
            </w:r>
            <w:r w:rsidRPr="002905A2">
              <w:rPr>
                <w:sz w:val="20"/>
              </w:rPr>
              <w:t>,</w:t>
            </w:r>
          </w:p>
          <w:p w14:paraId="0A359AA5" w14:textId="77777777" w:rsidR="00DC6F93" w:rsidRPr="002905A2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Amherst NY 14228</w:t>
            </w:r>
          </w:p>
          <w:p w14:paraId="0BF8C881" w14:textId="457A60EA" w:rsidR="00DC6F93" w:rsidRPr="00F232B6" w:rsidRDefault="00DC6F93" w:rsidP="00DC6F93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5A2">
              <w:rPr>
                <w:sz w:val="20"/>
              </w:rPr>
              <w:t xml:space="preserve">Erie County </w:t>
            </w:r>
          </w:p>
        </w:tc>
        <w:tc>
          <w:tcPr>
            <w:tcW w:w="3201" w:type="dxa"/>
            <w:hideMark/>
          </w:tcPr>
          <w:p w14:paraId="6230C5C4" w14:textId="20B0BCB3" w:rsidR="00DC6F93" w:rsidRPr="001B6B29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 xml:space="preserve">Brewster Amherst Preservation, L.P. or another single purpose entity controlled by the principals </w:t>
            </w:r>
            <w:proofErr w:type="gramStart"/>
            <w:r w:rsidRPr="002905A2">
              <w:rPr>
                <w:sz w:val="20"/>
              </w:rPr>
              <w:t>of  Brewster</w:t>
            </w:r>
            <w:proofErr w:type="gramEnd"/>
            <w:r w:rsidRPr="002905A2">
              <w:rPr>
                <w:sz w:val="20"/>
              </w:rPr>
              <w:t xml:space="preserve"> Amherst Related GP LLC and Brewster Amherst MJP GP LLC.</w:t>
            </w:r>
          </w:p>
        </w:tc>
        <w:tc>
          <w:tcPr>
            <w:tcW w:w="1062" w:type="dxa"/>
            <w:hideMark/>
          </w:tcPr>
          <w:p w14:paraId="45112C70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041FE64B" w14:textId="3EE2917D" w:rsidR="00DC6F93" w:rsidRPr="001B6B29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216</w:t>
            </w:r>
          </w:p>
        </w:tc>
        <w:tc>
          <w:tcPr>
            <w:tcW w:w="2166" w:type="dxa"/>
            <w:hideMark/>
          </w:tcPr>
          <w:p w14:paraId="7AA9B6E4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56D288E9" w14:textId="5BDA48F4" w:rsidR="00DC6F93" w:rsidRPr="001B6B29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$25,435,000</w:t>
            </w:r>
          </w:p>
        </w:tc>
      </w:tr>
      <w:tr w:rsidR="00DC6F93" w:rsidRPr="009C1CF5" w14:paraId="12C93FF7" w14:textId="77777777" w:rsidTr="003C0D10">
        <w:tc>
          <w:tcPr>
            <w:tcW w:w="3685" w:type="dxa"/>
          </w:tcPr>
          <w:p w14:paraId="52DA2201" w14:textId="77777777" w:rsidR="00DC6F93" w:rsidRPr="002905A2" w:rsidRDefault="00DC6F93" w:rsidP="00DC6F93">
            <w:pPr>
              <w:rPr>
                <w:b/>
                <w:sz w:val="20"/>
              </w:rPr>
            </w:pPr>
            <w:r w:rsidRPr="002905A2">
              <w:rPr>
                <w:b/>
                <w:sz w:val="20"/>
              </w:rPr>
              <w:t xml:space="preserve">Oxford Village Townhomes </w:t>
            </w:r>
          </w:p>
          <w:p w14:paraId="15576C56" w14:textId="77777777" w:rsidR="00DC6F93" w:rsidRPr="002905A2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42 Oxford Avenue,</w:t>
            </w:r>
          </w:p>
          <w:p w14:paraId="55E3EF44" w14:textId="77777777" w:rsidR="00DC6F93" w:rsidRPr="002905A2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Amherst NY 14226</w:t>
            </w:r>
          </w:p>
          <w:p w14:paraId="6EECF1E5" w14:textId="245EDD3F" w:rsidR="00DC6F93" w:rsidRDefault="00DC6F93" w:rsidP="00DC6F93">
            <w:pPr>
              <w:spacing w:line="252" w:lineRule="auto"/>
              <w:rPr>
                <w:b/>
                <w:bCs/>
                <w:sz w:val="20"/>
              </w:rPr>
            </w:pPr>
            <w:r w:rsidRPr="002905A2">
              <w:rPr>
                <w:sz w:val="20"/>
              </w:rPr>
              <w:t>Erie County</w:t>
            </w:r>
          </w:p>
        </w:tc>
        <w:tc>
          <w:tcPr>
            <w:tcW w:w="3201" w:type="dxa"/>
          </w:tcPr>
          <w:p w14:paraId="1308DE9F" w14:textId="367B7673" w:rsidR="00DC6F93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Oxford Amherst Preservation, L.P. or another single purpose entity controlled by the principals of Oxford Amherst Related GP LLC and Oxford Amherst Related Class C LLC.</w:t>
            </w:r>
          </w:p>
        </w:tc>
        <w:tc>
          <w:tcPr>
            <w:tcW w:w="1062" w:type="dxa"/>
          </w:tcPr>
          <w:p w14:paraId="6146BCB3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56513A20" w14:textId="71C2170F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316</w:t>
            </w:r>
          </w:p>
        </w:tc>
        <w:tc>
          <w:tcPr>
            <w:tcW w:w="2166" w:type="dxa"/>
          </w:tcPr>
          <w:p w14:paraId="78578B30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052FB898" w14:textId="5183A985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$32,385,000</w:t>
            </w:r>
          </w:p>
        </w:tc>
      </w:tr>
      <w:tr w:rsidR="00DC6F93" w:rsidRPr="009C1CF5" w14:paraId="4DEFF3C2" w14:textId="77777777" w:rsidTr="003C0D10">
        <w:tc>
          <w:tcPr>
            <w:tcW w:w="3685" w:type="dxa"/>
          </w:tcPr>
          <w:p w14:paraId="21DE0607" w14:textId="77777777" w:rsidR="00DC6F93" w:rsidRPr="002905A2" w:rsidRDefault="00DC6F93" w:rsidP="00DC6F93">
            <w:pPr>
              <w:rPr>
                <w:b/>
                <w:sz w:val="20"/>
              </w:rPr>
            </w:pPr>
            <w:r w:rsidRPr="002905A2">
              <w:rPr>
                <w:b/>
                <w:sz w:val="20"/>
              </w:rPr>
              <w:t xml:space="preserve">Parkside Houses </w:t>
            </w:r>
          </w:p>
          <w:p w14:paraId="5D9A0B8A" w14:textId="77777777" w:rsidR="00DC6F93" w:rsidRPr="002905A2" w:rsidRDefault="00DC6F93" w:rsidP="00DC6F93">
            <w:pPr>
              <w:rPr>
                <w:sz w:val="20"/>
              </w:rPr>
            </w:pPr>
            <w:r w:rsidRPr="006A1E9C">
              <w:rPr>
                <w:sz w:val="20"/>
              </w:rPr>
              <w:t>302-332 Little Robin Road (aka 301-326 Robin Road, 101-128 Little Robin Road, 825-</w:t>
            </w:r>
            <w:r w:rsidRPr="006A1E9C">
              <w:rPr>
                <w:sz w:val="20"/>
              </w:rPr>
              <w:tab/>
              <w:t xml:space="preserve">862 Robin </w:t>
            </w:r>
            <w:proofErr w:type="gramStart"/>
            <w:r w:rsidRPr="006A1E9C">
              <w:rPr>
                <w:sz w:val="20"/>
              </w:rPr>
              <w:t>Road</w:t>
            </w:r>
            <w:proofErr w:type="gramEnd"/>
            <w:r w:rsidRPr="006A1E9C">
              <w:rPr>
                <w:sz w:val="20"/>
              </w:rPr>
              <w:t xml:space="preserve"> and 801-824 Robin Road)</w:t>
            </w:r>
            <w:r w:rsidRPr="002905A2">
              <w:rPr>
                <w:sz w:val="20"/>
              </w:rPr>
              <w:t>,</w:t>
            </w:r>
          </w:p>
          <w:p w14:paraId="79B99488" w14:textId="77777777" w:rsidR="00DC6F93" w:rsidRPr="002905A2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Amherst NY 14228</w:t>
            </w:r>
          </w:p>
          <w:p w14:paraId="12AA053C" w14:textId="5F8418B8" w:rsidR="00DC6F93" w:rsidRDefault="00DC6F93" w:rsidP="00DC6F93">
            <w:pPr>
              <w:spacing w:line="252" w:lineRule="auto"/>
              <w:rPr>
                <w:b/>
                <w:bCs/>
                <w:sz w:val="20"/>
              </w:rPr>
            </w:pPr>
            <w:r w:rsidRPr="002905A2">
              <w:rPr>
                <w:sz w:val="20"/>
              </w:rPr>
              <w:t xml:space="preserve">Erie County </w:t>
            </w:r>
          </w:p>
        </w:tc>
        <w:tc>
          <w:tcPr>
            <w:tcW w:w="3201" w:type="dxa"/>
          </w:tcPr>
          <w:p w14:paraId="1F978CEA" w14:textId="6871FB08" w:rsidR="00DC6F93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Parkside Amherst Preservation, L.P. or another single purpose entity controlled by the principals of Parkside Amherst Related GP LLC and Parkside Amherst MJP GP LLC.</w:t>
            </w:r>
          </w:p>
        </w:tc>
        <w:tc>
          <w:tcPr>
            <w:tcW w:w="1062" w:type="dxa"/>
          </w:tcPr>
          <w:p w14:paraId="771463CA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1405B6BE" w14:textId="644539E3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180</w:t>
            </w:r>
          </w:p>
        </w:tc>
        <w:tc>
          <w:tcPr>
            <w:tcW w:w="2166" w:type="dxa"/>
          </w:tcPr>
          <w:p w14:paraId="4DF1D874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3A40404F" w14:textId="5209BD1F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$16,370,000</w:t>
            </w:r>
          </w:p>
        </w:tc>
      </w:tr>
      <w:tr w:rsidR="00DC6F93" w:rsidRPr="009C1CF5" w14:paraId="6A1C39BD" w14:textId="77777777" w:rsidTr="003C0D10">
        <w:tc>
          <w:tcPr>
            <w:tcW w:w="3685" w:type="dxa"/>
          </w:tcPr>
          <w:p w14:paraId="2626A29C" w14:textId="77777777" w:rsidR="00DC6F93" w:rsidRPr="002905A2" w:rsidRDefault="00DC6F93" w:rsidP="00DC6F93">
            <w:pPr>
              <w:rPr>
                <w:b/>
                <w:sz w:val="20"/>
              </w:rPr>
            </w:pPr>
            <w:r w:rsidRPr="002905A2">
              <w:rPr>
                <w:b/>
                <w:sz w:val="20"/>
              </w:rPr>
              <w:t>Princeton Court</w:t>
            </w:r>
          </w:p>
          <w:p w14:paraId="3339103E" w14:textId="77777777" w:rsidR="00DC6F93" w:rsidRPr="002905A2" w:rsidRDefault="00DC6F93" w:rsidP="00DC6F93">
            <w:pPr>
              <w:rPr>
                <w:bCs/>
                <w:sz w:val="20"/>
              </w:rPr>
            </w:pPr>
            <w:r w:rsidRPr="002905A2">
              <w:rPr>
                <w:bCs/>
                <w:sz w:val="20"/>
              </w:rPr>
              <w:t xml:space="preserve">165 Princeton Avenue, </w:t>
            </w:r>
          </w:p>
          <w:p w14:paraId="2F30DEA2" w14:textId="77777777" w:rsidR="00DC6F93" w:rsidRPr="002905A2" w:rsidRDefault="00DC6F93" w:rsidP="00DC6F93">
            <w:pPr>
              <w:rPr>
                <w:bCs/>
                <w:sz w:val="20"/>
              </w:rPr>
            </w:pPr>
            <w:r w:rsidRPr="002905A2">
              <w:rPr>
                <w:bCs/>
                <w:sz w:val="20"/>
              </w:rPr>
              <w:t>Amherst NY 14226</w:t>
            </w:r>
          </w:p>
          <w:p w14:paraId="09674A3F" w14:textId="00D9CAF7" w:rsidR="00DC6F93" w:rsidRDefault="00DC6F93" w:rsidP="00DC6F93">
            <w:pPr>
              <w:spacing w:line="252" w:lineRule="auto"/>
              <w:rPr>
                <w:b/>
                <w:bCs/>
                <w:sz w:val="20"/>
              </w:rPr>
            </w:pPr>
            <w:r w:rsidRPr="002905A2">
              <w:rPr>
                <w:bCs/>
                <w:sz w:val="20"/>
              </w:rPr>
              <w:t>Erie County</w:t>
            </w:r>
          </w:p>
        </w:tc>
        <w:tc>
          <w:tcPr>
            <w:tcW w:w="3201" w:type="dxa"/>
          </w:tcPr>
          <w:p w14:paraId="5A981486" w14:textId="093ECE9E" w:rsidR="00DC6F93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Princeton Amherst Preservation, L.P. or another single purpose entity controlled by the principals of Princeton Amherst Related GP LLC and Princeton Amherst MJP GP LLC.</w:t>
            </w:r>
          </w:p>
        </w:tc>
        <w:tc>
          <w:tcPr>
            <w:tcW w:w="1062" w:type="dxa"/>
          </w:tcPr>
          <w:p w14:paraId="33387C73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17583704" w14:textId="190B11CF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304</w:t>
            </w:r>
          </w:p>
        </w:tc>
        <w:tc>
          <w:tcPr>
            <w:tcW w:w="2166" w:type="dxa"/>
          </w:tcPr>
          <w:p w14:paraId="7E3C50FF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2E43623B" w14:textId="6AFC38E6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$28,930,000</w:t>
            </w:r>
          </w:p>
        </w:tc>
      </w:tr>
      <w:tr w:rsidR="00DC6F93" w:rsidRPr="009C1CF5" w14:paraId="158BB75A" w14:textId="77777777" w:rsidTr="003C0D10">
        <w:tc>
          <w:tcPr>
            <w:tcW w:w="3685" w:type="dxa"/>
          </w:tcPr>
          <w:p w14:paraId="0477D6F8" w14:textId="77777777" w:rsidR="00DC6F93" w:rsidRPr="002905A2" w:rsidRDefault="00DC6F93" w:rsidP="00DC6F93">
            <w:pPr>
              <w:rPr>
                <w:b/>
                <w:sz w:val="20"/>
              </w:rPr>
            </w:pPr>
            <w:r w:rsidRPr="002905A2">
              <w:rPr>
                <w:b/>
                <w:sz w:val="20"/>
              </w:rPr>
              <w:t xml:space="preserve">Tall Oaks Apartments </w:t>
            </w:r>
          </w:p>
          <w:p w14:paraId="07E0E4B0" w14:textId="2DA46D79" w:rsidR="00DC6F93" w:rsidRPr="002905A2" w:rsidRDefault="00DC6F93" w:rsidP="00DC6F93">
            <w:pPr>
              <w:rPr>
                <w:sz w:val="20"/>
              </w:rPr>
            </w:pPr>
            <w:r>
              <w:rPr>
                <w:sz w:val="20"/>
              </w:rPr>
              <w:t xml:space="preserve">223 </w:t>
            </w:r>
            <w:proofErr w:type="spellStart"/>
            <w:r>
              <w:rPr>
                <w:sz w:val="20"/>
              </w:rPr>
              <w:t>Monhagen</w:t>
            </w:r>
            <w:proofErr w:type="spellEnd"/>
            <w:r>
              <w:rPr>
                <w:sz w:val="20"/>
              </w:rPr>
              <w:t xml:space="preserve"> Avenue (aka </w:t>
            </w:r>
            <w:r w:rsidRPr="002905A2">
              <w:rPr>
                <w:sz w:val="20"/>
              </w:rPr>
              <w:t>151 Tall Oaks Dr.</w:t>
            </w:r>
            <w:r>
              <w:rPr>
                <w:sz w:val="20"/>
              </w:rPr>
              <w:t>)</w:t>
            </w:r>
            <w:r w:rsidRPr="002905A2">
              <w:rPr>
                <w:sz w:val="20"/>
              </w:rPr>
              <w:t>, Middletown NY 10940</w:t>
            </w:r>
          </w:p>
          <w:p w14:paraId="59B1F905" w14:textId="77777777" w:rsidR="00DC6F93" w:rsidRPr="002905A2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t>Orange County</w:t>
            </w:r>
          </w:p>
          <w:p w14:paraId="7EDAC761" w14:textId="691FCFE8" w:rsidR="00DC6F93" w:rsidRDefault="00DC6F93" w:rsidP="00DC6F93">
            <w:pPr>
              <w:spacing w:line="252" w:lineRule="auto"/>
              <w:rPr>
                <w:b/>
                <w:bCs/>
                <w:sz w:val="20"/>
              </w:rPr>
            </w:pPr>
          </w:p>
        </w:tc>
        <w:tc>
          <w:tcPr>
            <w:tcW w:w="3201" w:type="dxa"/>
          </w:tcPr>
          <w:p w14:paraId="2A1FD5CA" w14:textId="0F15B569" w:rsidR="00DC6F93" w:rsidRDefault="00DC6F93" w:rsidP="00DC6F93">
            <w:pPr>
              <w:rPr>
                <w:sz w:val="20"/>
              </w:rPr>
            </w:pPr>
            <w:r w:rsidRPr="002905A2">
              <w:rPr>
                <w:sz w:val="20"/>
              </w:rPr>
              <w:lastRenderedPageBreak/>
              <w:t xml:space="preserve">Tall Oaks Preservation, L.P. or another single purpose entity controlled by the principals of Tall </w:t>
            </w:r>
            <w:r w:rsidRPr="002905A2">
              <w:rPr>
                <w:sz w:val="20"/>
              </w:rPr>
              <w:lastRenderedPageBreak/>
              <w:t>Oaks Preservation GP LLC and Tall Oaks Preservation Class B LLC.</w:t>
            </w:r>
          </w:p>
        </w:tc>
        <w:tc>
          <w:tcPr>
            <w:tcW w:w="1062" w:type="dxa"/>
          </w:tcPr>
          <w:p w14:paraId="169395F4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22598279" w14:textId="36EC7527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150</w:t>
            </w:r>
          </w:p>
        </w:tc>
        <w:tc>
          <w:tcPr>
            <w:tcW w:w="2166" w:type="dxa"/>
          </w:tcPr>
          <w:p w14:paraId="32559C08" w14:textId="77777777" w:rsidR="00DC6F93" w:rsidRPr="002905A2" w:rsidRDefault="00DC6F93" w:rsidP="00DC6F93">
            <w:pPr>
              <w:jc w:val="center"/>
              <w:rPr>
                <w:sz w:val="20"/>
              </w:rPr>
            </w:pPr>
          </w:p>
          <w:p w14:paraId="5EEF187F" w14:textId="194FB095" w:rsidR="00DC6F93" w:rsidRDefault="00DC6F93" w:rsidP="00DC6F93">
            <w:pPr>
              <w:jc w:val="center"/>
              <w:rPr>
                <w:sz w:val="20"/>
              </w:rPr>
            </w:pPr>
            <w:r w:rsidRPr="002905A2">
              <w:rPr>
                <w:sz w:val="20"/>
              </w:rPr>
              <w:t>$15,485,000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58FDA2CA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DC6F93">
        <w:t>September 14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2</cp:revision>
  <cp:lastPrinted>2017-09-19T20:24:00Z</cp:lastPrinted>
  <dcterms:created xsi:type="dcterms:W3CDTF">2021-09-07T21:11:00Z</dcterms:created>
  <dcterms:modified xsi:type="dcterms:W3CDTF">2021-09-07T21:11:00Z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