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53E1" w14:textId="79C99EA8" w:rsidR="00C90CD5" w:rsidRDefault="00C90CD5">
      <w:r>
        <w:t xml:space="preserve">A webinar regarding this RFP was recorded August 7, 2020.  The recording and the slides are posted on the RFP website. </w:t>
      </w:r>
    </w:p>
    <w:p w14:paraId="79DF57F7" w14:textId="0FA8AB05" w:rsidR="000C684D" w:rsidRDefault="003A69E5">
      <w:r>
        <w:t>Changes in Amendment of PBV RFP published 8/14/2020</w:t>
      </w:r>
    </w:p>
    <w:p w14:paraId="79BA7D8B" w14:textId="26B18E71" w:rsidR="00FB206A" w:rsidRDefault="00D445BC" w:rsidP="003A69E5">
      <w:pPr>
        <w:pStyle w:val="ListParagraph"/>
        <w:numPr>
          <w:ilvl w:val="0"/>
          <w:numId w:val="6"/>
        </w:numPr>
      </w:pPr>
      <w:hyperlink r:id="rId5" w:history="1">
        <w:r w:rsidR="00FB206A" w:rsidRPr="006C277E">
          <w:rPr>
            <w:rStyle w:val="Hyperlink"/>
          </w:rPr>
          <w:t>RentalRFP@nyshcr.org</w:t>
        </w:r>
      </w:hyperlink>
      <w:r w:rsidR="00FB206A">
        <w:t xml:space="preserve"> is back up and running after a little glitch</w:t>
      </w:r>
    </w:p>
    <w:p w14:paraId="340A61DB" w14:textId="77958BCB" w:rsidR="00FB206A" w:rsidRDefault="003A69E5" w:rsidP="003A69E5">
      <w:pPr>
        <w:pStyle w:val="ListParagraph"/>
        <w:numPr>
          <w:ilvl w:val="0"/>
          <w:numId w:val="6"/>
        </w:numPr>
      </w:pPr>
      <w:r>
        <w:t>“</w:t>
      </w:r>
      <w:r w:rsidR="00FB206A">
        <w:t>Currently funded</w:t>
      </w:r>
      <w:r>
        <w:t>”</w:t>
      </w:r>
      <w:r w:rsidR="00FB206A">
        <w:t xml:space="preserve"> has </w:t>
      </w:r>
      <w:r>
        <w:t xml:space="preserve">been clarified.  Properties must have </w:t>
      </w:r>
      <w:r w:rsidR="00FB206A">
        <w:t>a current regulatory agreement</w:t>
      </w:r>
      <w:r>
        <w:t xml:space="preserve">. </w:t>
      </w:r>
    </w:p>
    <w:p w14:paraId="627A0F60" w14:textId="5F7AB92D" w:rsidR="00DD4ED9" w:rsidRDefault="003A69E5" w:rsidP="00D65E16">
      <w:pPr>
        <w:pStyle w:val="ListParagraph"/>
        <w:numPr>
          <w:ilvl w:val="0"/>
          <w:numId w:val="6"/>
        </w:numPr>
      </w:pPr>
      <w:r>
        <w:t xml:space="preserve">In </w:t>
      </w:r>
      <w:r w:rsidR="00FB206A">
        <w:t>Section 6.6.5</w:t>
      </w:r>
      <w:r>
        <w:t xml:space="preserve">, </w:t>
      </w:r>
      <w:r w:rsidR="00FB206A">
        <w:t>non</w:t>
      </w:r>
      <w:r>
        <w:t>-</w:t>
      </w:r>
      <w:r w:rsidR="00FB206A">
        <w:t xml:space="preserve">collusive bidding certification and offeror disclosure </w:t>
      </w:r>
      <w:r>
        <w:t xml:space="preserve">have been removed from the list and documents required under Tab 5. </w:t>
      </w:r>
    </w:p>
    <w:p w14:paraId="6F77BC2B" w14:textId="77777777" w:rsidR="003A69E5" w:rsidRDefault="003A69E5" w:rsidP="003A69E5"/>
    <w:p w14:paraId="72CC3543" w14:textId="3576DE0B" w:rsidR="003A69E5" w:rsidRDefault="003A69E5" w:rsidP="003A69E5">
      <w:r>
        <w:t>Frequently Asked Questions</w:t>
      </w:r>
    </w:p>
    <w:p w14:paraId="2C312876" w14:textId="76CD5224" w:rsidR="00A22262" w:rsidRDefault="00A22262" w:rsidP="00A22262">
      <w:pPr>
        <w:pStyle w:val="ListParagraph"/>
        <w:numPr>
          <w:ilvl w:val="0"/>
          <w:numId w:val="7"/>
        </w:numPr>
      </w:pPr>
      <w:r>
        <w:t xml:space="preserve">My property has an existing </w:t>
      </w:r>
      <w:r w:rsidR="00C90CD5">
        <w:t>project-based</w:t>
      </w:r>
      <w:r>
        <w:t xml:space="preserve"> section 8 contract with another housing authority.  Can I apply under Track 3? </w:t>
      </w:r>
    </w:p>
    <w:p w14:paraId="310C433D" w14:textId="4713A7A0" w:rsidR="003B7A9C" w:rsidRDefault="00A22262" w:rsidP="00A22262">
      <w:pPr>
        <w:ind w:left="720" w:hanging="360"/>
      </w:pPr>
      <w:r>
        <w:t xml:space="preserve">A: </w:t>
      </w:r>
      <w:r w:rsidR="00F66413">
        <w:t xml:space="preserve"> </w:t>
      </w:r>
      <w:r>
        <w:tab/>
        <w:t>No, this property must apply under Track 2 (as long as it meets the other criteria).  The</w:t>
      </w:r>
      <w:r w:rsidR="00F66413">
        <w:t xml:space="preserve"> PBV unit cap </w:t>
      </w:r>
      <w:r>
        <w:t xml:space="preserve">still applies, and the property cannot apply for units that, when combined with existing PBV units, would put it over the unit cap. </w:t>
      </w:r>
    </w:p>
    <w:p w14:paraId="13E724A8" w14:textId="6D7FC64C" w:rsidR="009E78DA" w:rsidRDefault="009E78DA" w:rsidP="009E78DA">
      <w:pPr>
        <w:pStyle w:val="ListParagraph"/>
        <w:numPr>
          <w:ilvl w:val="0"/>
          <w:numId w:val="7"/>
        </w:numPr>
        <w:rPr>
          <w:rFonts w:eastAsia="Times New Roman"/>
        </w:rPr>
      </w:pPr>
      <w:r>
        <w:rPr>
          <w:rFonts w:eastAsia="Times New Roman"/>
        </w:rPr>
        <w:t>If a project falls under Track 3, does the maximum addition of 7 units change if the property is in a low poverty area or it serving elderly or households eligible for supportive housing?</w:t>
      </w:r>
    </w:p>
    <w:p w14:paraId="58126F87" w14:textId="368209E5" w:rsidR="009E78DA" w:rsidRPr="009E78DA" w:rsidRDefault="009E78DA" w:rsidP="009E78DA">
      <w:pPr>
        <w:ind w:left="720" w:hanging="360"/>
        <w:rPr>
          <w:color w:val="FF0000"/>
        </w:rPr>
      </w:pPr>
      <w:r w:rsidRPr="009E78DA">
        <w:t xml:space="preserve">A: </w:t>
      </w:r>
      <w:r w:rsidRPr="009E78DA">
        <w:tab/>
        <w:t>For track 3 only 7 more units could be requested.  If the property wants more than 7 units and these added units wouldn’t push over the unit max, it should apply under Track 2</w:t>
      </w:r>
      <w:r>
        <w:rPr>
          <w:color w:val="FF0000"/>
        </w:rPr>
        <w:t xml:space="preserve">. </w:t>
      </w:r>
    </w:p>
    <w:p w14:paraId="41126DBA" w14:textId="78C1CA84" w:rsidR="008A4AF9" w:rsidRDefault="008A4AF9" w:rsidP="008A4AF9">
      <w:pPr>
        <w:pStyle w:val="ListParagraph"/>
        <w:numPr>
          <w:ilvl w:val="0"/>
          <w:numId w:val="7"/>
        </w:numPr>
      </w:pPr>
      <w:r>
        <w:t xml:space="preserve">My property </w:t>
      </w:r>
      <w:r w:rsidR="009E78DA">
        <w:t>only has a small number</w:t>
      </w:r>
      <w:r>
        <w:t xml:space="preserve"> units – does the unit max still apply? </w:t>
      </w:r>
    </w:p>
    <w:p w14:paraId="33F522F1" w14:textId="51E46F4B" w:rsidR="008A4AF9" w:rsidRDefault="008A4AF9" w:rsidP="008A4AF9">
      <w:pPr>
        <w:ind w:left="360"/>
      </w:pPr>
      <w:r>
        <w:t xml:space="preserve">A: </w:t>
      </w:r>
      <w:r>
        <w:tab/>
        <w:t xml:space="preserve">The following applies regardless of property size: </w:t>
      </w:r>
    </w:p>
    <w:p w14:paraId="4306A5C5" w14:textId="1020A2B3" w:rsidR="008A4AF9" w:rsidRDefault="008A4AF9" w:rsidP="008A4AF9">
      <w:pPr>
        <w:ind w:left="1440"/>
      </w:pPr>
      <w:r>
        <w:t>1.Higher of 25 units or 25% of units at property; OR</w:t>
      </w:r>
    </w:p>
    <w:p w14:paraId="711260BD" w14:textId="4F0E59D5" w:rsidR="008A4AF9" w:rsidRDefault="008A4AF9" w:rsidP="008A4AF9">
      <w:pPr>
        <w:ind w:left="1440"/>
      </w:pPr>
      <w:r>
        <w:t xml:space="preserve">2.Properties in a low-poverty area may request PBVs for up to 40% of units OR </w:t>
      </w:r>
    </w:p>
    <w:p w14:paraId="02C4DEDA" w14:textId="77777777" w:rsidR="009E78DA" w:rsidRDefault="008A4AF9" w:rsidP="009E78DA">
      <w:pPr>
        <w:ind w:left="1440"/>
      </w:pPr>
      <w:r>
        <w:t xml:space="preserve">3.Properties serving elderly (age 62 and older) or households eligible for supportive services have no unit maximum.  </w:t>
      </w:r>
    </w:p>
    <w:p w14:paraId="48B0E6B0" w14:textId="77777777" w:rsidR="009E78DA" w:rsidRDefault="009E78DA" w:rsidP="009E78DA">
      <w:pPr>
        <w:spacing w:after="0"/>
        <w:ind w:left="360"/>
      </w:pPr>
      <w:r>
        <w:t>4. My property has existing tenants that would be eligible for PBV.  Can I apply for PBV for their units?</w:t>
      </w:r>
    </w:p>
    <w:p w14:paraId="7B275028" w14:textId="7ED1BB98" w:rsidR="009E78DA" w:rsidRDefault="009E78DA" w:rsidP="009E78DA">
      <w:pPr>
        <w:spacing w:after="0"/>
        <w:ind w:left="360"/>
      </w:pPr>
      <w:r>
        <w:t xml:space="preserve">A: </w:t>
      </w:r>
      <w:r w:rsidR="00C90CD5">
        <w:tab/>
      </w:r>
      <w:r>
        <w:t xml:space="preserve">Yes.  PBV gives a preference for existing tenants.  </w:t>
      </w:r>
    </w:p>
    <w:p w14:paraId="13698880" w14:textId="77777777" w:rsidR="009E78DA" w:rsidRDefault="009E78DA" w:rsidP="009E78DA">
      <w:pPr>
        <w:spacing w:after="0"/>
        <w:ind w:left="360"/>
      </w:pPr>
    </w:p>
    <w:p w14:paraId="1E1EBDC5" w14:textId="6EA8491C" w:rsidR="003B7A9C" w:rsidRPr="009E78DA" w:rsidRDefault="003B7A9C" w:rsidP="009E78DA">
      <w:pPr>
        <w:pStyle w:val="ListParagraph"/>
        <w:numPr>
          <w:ilvl w:val="0"/>
          <w:numId w:val="9"/>
        </w:numPr>
        <w:rPr>
          <w:rFonts w:eastAsia="Times New Roman"/>
        </w:rPr>
      </w:pPr>
      <w:r w:rsidRPr="009E78DA">
        <w:rPr>
          <w:rFonts w:eastAsia="Times New Roman"/>
        </w:rPr>
        <w:t>How are the rents set</w:t>
      </w:r>
      <w:r w:rsidR="00A22262" w:rsidRPr="009E78DA">
        <w:rPr>
          <w:rFonts w:eastAsia="Times New Roman"/>
        </w:rPr>
        <w:t xml:space="preserve"> for </w:t>
      </w:r>
      <w:r w:rsidR="008A4AF9" w:rsidRPr="009E78DA">
        <w:rPr>
          <w:rFonts w:eastAsia="Times New Roman"/>
        </w:rPr>
        <w:t>project-based</w:t>
      </w:r>
      <w:r w:rsidR="00A22262" w:rsidRPr="009E78DA">
        <w:rPr>
          <w:rFonts w:eastAsia="Times New Roman"/>
        </w:rPr>
        <w:t xml:space="preserve"> section 8 units</w:t>
      </w:r>
      <w:r w:rsidRPr="009E78DA">
        <w:rPr>
          <w:rFonts w:eastAsia="Times New Roman"/>
        </w:rPr>
        <w:t xml:space="preserve">? </w:t>
      </w:r>
    </w:p>
    <w:p w14:paraId="2F05A6F0" w14:textId="03333A4B" w:rsidR="003B7A9C" w:rsidRPr="00A22262" w:rsidRDefault="00A22262" w:rsidP="00A22262">
      <w:pPr>
        <w:ind w:left="720" w:hanging="360"/>
        <w:rPr>
          <w:rFonts w:eastAsia="Times New Roman"/>
        </w:rPr>
      </w:pPr>
      <w:r w:rsidRPr="00A22262">
        <w:rPr>
          <w:rFonts w:eastAsia="Times New Roman"/>
        </w:rPr>
        <w:t xml:space="preserve">A: </w:t>
      </w:r>
      <w:r w:rsidRPr="00A22262">
        <w:rPr>
          <w:rFonts w:eastAsia="Times New Roman"/>
        </w:rPr>
        <w:tab/>
        <w:t>Project Based Section 8 rents are set at the l</w:t>
      </w:r>
      <w:r w:rsidR="003B7A9C" w:rsidRPr="00A22262">
        <w:rPr>
          <w:rFonts w:eastAsia="Times New Roman"/>
        </w:rPr>
        <w:t>ower of 110% of FMR, owner request</w:t>
      </w:r>
      <w:r w:rsidRPr="00A22262">
        <w:rPr>
          <w:rFonts w:eastAsia="Times New Roman"/>
        </w:rPr>
        <w:t>ed amount</w:t>
      </w:r>
      <w:r w:rsidR="003B7A9C" w:rsidRPr="00A22262">
        <w:rPr>
          <w:rFonts w:eastAsia="Times New Roman"/>
        </w:rPr>
        <w:t xml:space="preserve">, or </w:t>
      </w:r>
      <w:r w:rsidRPr="00A22262">
        <w:rPr>
          <w:rFonts w:eastAsia="Times New Roman"/>
        </w:rPr>
        <w:t xml:space="preserve">the </w:t>
      </w:r>
      <w:r w:rsidR="003B7A9C" w:rsidRPr="00A22262">
        <w:rPr>
          <w:rFonts w:eastAsia="Times New Roman"/>
        </w:rPr>
        <w:t>reasonable rent</w:t>
      </w:r>
      <w:r w:rsidRPr="00A22262">
        <w:rPr>
          <w:rFonts w:eastAsia="Times New Roman"/>
        </w:rPr>
        <w:t xml:space="preserve">.  Rent increases are also set at these standards.  </w:t>
      </w:r>
    </w:p>
    <w:p w14:paraId="0FF0A664" w14:textId="48B78824" w:rsidR="003B7A9C" w:rsidRDefault="00A22262" w:rsidP="009E78DA">
      <w:pPr>
        <w:numPr>
          <w:ilvl w:val="0"/>
          <w:numId w:val="9"/>
        </w:numPr>
        <w:spacing w:after="0" w:line="240" w:lineRule="auto"/>
        <w:rPr>
          <w:rFonts w:eastAsia="Times New Roman"/>
        </w:rPr>
      </w:pPr>
      <w:r>
        <w:rPr>
          <w:rFonts w:eastAsia="Times New Roman"/>
        </w:rPr>
        <w:t xml:space="preserve">Are </w:t>
      </w:r>
      <w:r w:rsidR="008A4AF9">
        <w:rPr>
          <w:rFonts w:eastAsia="Times New Roman"/>
        </w:rPr>
        <w:t>project-based</w:t>
      </w:r>
      <w:r>
        <w:rPr>
          <w:rFonts w:eastAsia="Times New Roman"/>
        </w:rPr>
        <w:t xml:space="preserve"> </w:t>
      </w:r>
      <w:r w:rsidR="003B7A9C">
        <w:rPr>
          <w:rFonts w:eastAsia="Times New Roman"/>
        </w:rPr>
        <w:t>subsid</w:t>
      </w:r>
      <w:r w:rsidR="008A4AF9">
        <w:rPr>
          <w:rFonts w:eastAsia="Times New Roman"/>
        </w:rPr>
        <w:t>ies</w:t>
      </w:r>
      <w:r w:rsidR="003B7A9C">
        <w:rPr>
          <w:rFonts w:eastAsia="Times New Roman"/>
        </w:rPr>
        <w:t xml:space="preserve"> attached to specific uni</w:t>
      </w:r>
      <w:r w:rsidR="008A4AF9">
        <w:rPr>
          <w:rFonts w:eastAsia="Times New Roman"/>
        </w:rPr>
        <w:t>ts</w:t>
      </w:r>
      <w:r w:rsidR="003B7A9C">
        <w:rPr>
          <w:rFonts w:eastAsia="Times New Roman"/>
        </w:rPr>
        <w:t>?</w:t>
      </w:r>
    </w:p>
    <w:p w14:paraId="5F82251C" w14:textId="45374C7C" w:rsidR="008A4AF9" w:rsidRDefault="008A4AF9" w:rsidP="008A4AF9">
      <w:pPr>
        <w:spacing w:after="0" w:line="240" w:lineRule="auto"/>
        <w:ind w:left="720" w:hanging="360"/>
        <w:rPr>
          <w:rFonts w:eastAsia="Times New Roman"/>
        </w:rPr>
      </w:pPr>
      <w:r w:rsidRPr="008A4AF9">
        <w:rPr>
          <w:rFonts w:eastAsia="Times New Roman"/>
        </w:rPr>
        <w:t xml:space="preserve">A: </w:t>
      </w:r>
      <w:r w:rsidRPr="008A4AF9">
        <w:rPr>
          <w:rFonts w:eastAsia="Times New Roman"/>
        </w:rPr>
        <w:tab/>
        <w:t xml:space="preserve">Yes, project-based units will be attached to specific units.  The subsidized PBV units will be an exhibit as part of the PBV contract. </w:t>
      </w:r>
    </w:p>
    <w:p w14:paraId="757E130D" w14:textId="77777777" w:rsidR="008A4AF9" w:rsidRDefault="008A4AF9" w:rsidP="008A4AF9">
      <w:pPr>
        <w:spacing w:after="0" w:line="240" w:lineRule="auto"/>
        <w:ind w:left="720" w:hanging="360"/>
        <w:rPr>
          <w:rFonts w:eastAsia="Times New Roman"/>
        </w:rPr>
      </w:pPr>
    </w:p>
    <w:p w14:paraId="541551EF" w14:textId="6DB8CB54" w:rsidR="005D79A3" w:rsidRPr="00BE193E" w:rsidRDefault="00BE193E" w:rsidP="009E78DA">
      <w:pPr>
        <w:pStyle w:val="ListParagraph"/>
        <w:numPr>
          <w:ilvl w:val="0"/>
          <w:numId w:val="9"/>
        </w:numPr>
        <w:rPr>
          <w:rFonts w:eastAsia="Times New Roman"/>
        </w:rPr>
      </w:pPr>
      <w:r w:rsidRPr="00BE193E">
        <w:rPr>
          <w:rFonts w:eastAsia="Times New Roman"/>
        </w:rPr>
        <w:t xml:space="preserve">The 20 year pro-forma (underwriting) </w:t>
      </w:r>
      <w:r w:rsidR="005D79A3" w:rsidRPr="00BE193E">
        <w:rPr>
          <w:rFonts w:eastAsia="Times New Roman"/>
        </w:rPr>
        <w:t xml:space="preserve">states that the cash flow after </w:t>
      </w:r>
      <w:r w:rsidRPr="00BE193E">
        <w:rPr>
          <w:rFonts w:eastAsia="Times New Roman"/>
        </w:rPr>
        <w:t>debt service cannot</w:t>
      </w:r>
      <w:r w:rsidR="005D79A3" w:rsidRPr="00BE193E">
        <w:rPr>
          <w:rFonts w:eastAsia="Times New Roman"/>
        </w:rPr>
        <w:t xml:space="preserve"> exceed 10% of expenses, and DSC must be between 1.1 and 1.45.  </w:t>
      </w:r>
      <w:r w:rsidRPr="00BE193E">
        <w:rPr>
          <w:rFonts w:eastAsia="Times New Roman"/>
        </w:rPr>
        <w:t xml:space="preserve">What if our pro forma amounts fall outside the listed amounts? </w:t>
      </w:r>
    </w:p>
    <w:p w14:paraId="572DD7AD" w14:textId="276DE608" w:rsidR="00D11433" w:rsidRDefault="00BE193E" w:rsidP="00BE193E">
      <w:pPr>
        <w:ind w:left="720" w:hanging="360"/>
        <w:rPr>
          <w:rFonts w:eastAsia="Times New Roman"/>
        </w:rPr>
      </w:pPr>
      <w:r w:rsidRPr="00BE193E">
        <w:rPr>
          <w:rFonts w:eastAsia="Times New Roman"/>
        </w:rPr>
        <w:lastRenderedPageBreak/>
        <w:t>A:</w:t>
      </w:r>
      <w:r>
        <w:rPr>
          <w:rFonts w:eastAsia="Times New Roman"/>
        </w:rPr>
        <w:tab/>
      </w:r>
      <w:r w:rsidRPr="00BE193E">
        <w:rPr>
          <w:rFonts w:eastAsia="Times New Roman"/>
        </w:rPr>
        <w:t xml:space="preserve"> </w:t>
      </w:r>
      <w:r w:rsidR="00D11433" w:rsidRPr="00BE193E">
        <w:rPr>
          <w:rFonts w:eastAsia="Times New Roman"/>
        </w:rPr>
        <w:t xml:space="preserve">Properties receiving PBV are subject to subsidy layering reviews which ensure the project doesn’t receive more funding than is necessary to make a project feasible in consideration of all government assistance.  The numbers listed in the form are the HUD safe harbor amounts.  There may be limited times when numbers fall outside the safe harbor; if this is the case, please make the reasons for exceeding the limits clear in the narrative section of Tab 4. </w:t>
      </w:r>
    </w:p>
    <w:p w14:paraId="3E1E773B" w14:textId="54B2E1D1" w:rsidR="00BE193E" w:rsidRDefault="00BE193E" w:rsidP="009E78DA">
      <w:pPr>
        <w:pStyle w:val="ListParagraph"/>
        <w:numPr>
          <w:ilvl w:val="0"/>
          <w:numId w:val="9"/>
        </w:numPr>
        <w:rPr>
          <w:rFonts w:eastAsia="Times New Roman"/>
        </w:rPr>
      </w:pPr>
      <w:r>
        <w:rPr>
          <w:rFonts w:eastAsia="Times New Roman"/>
        </w:rPr>
        <w:t xml:space="preserve">When is Davis Bacon triggered for existing properties? </w:t>
      </w:r>
    </w:p>
    <w:p w14:paraId="34C4CBBB" w14:textId="61CC134E" w:rsidR="004F7031" w:rsidRPr="00BE193E" w:rsidRDefault="00BE193E" w:rsidP="00BE193E">
      <w:pPr>
        <w:ind w:left="720" w:hanging="360"/>
        <w:rPr>
          <w:rFonts w:eastAsia="Times New Roman"/>
        </w:rPr>
      </w:pPr>
      <w:r>
        <w:rPr>
          <w:rFonts w:eastAsia="Times New Roman"/>
        </w:rPr>
        <w:t xml:space="preserve">A: </w:t>
      </w:r>
      <w:r>
        <w:rPr>
          <w:rFonts w:eastAsia="Times New Roman"/>
        </w:rPr>
        <w:tab/>
      </w:r>
      <w:r w:rsidR="004F7031">
        <w:t xml:space="preserve">Davis Bacon is triggered 9 or more vouchers – any rehab either 18 months prior or post signing of the AHAP contract.  If you’re not doing any rehab now, you should be aware of the 18 month post-signing requirement.  All the details are in the link below.  </w:t>
      </w:r>
    </w:p>
    <w:p w14:paraId="3607548B" w14:textId="2E13FCB1" w:rsidR="004F7031" w:rsidRDefault="00D445BC" w:rsidP="00BE193E">
      <w:pPr>
        <w:ind w:firstLine="720"/>
      </w:pPr>
      <w:hyperlink r:id="rId6" w:history="1">
        <w:r w:rsidR="009E78DA" w:rsidRPr="00572D1E">
          <w:rPr>
            <w:rStyle w:val="Hyperlink"/>
          </w:rPr>
          <w:t>https://www.hud.gov/sites/documents/DAVISBACON.PDF</w:t>
        </w:r>
      </w:hyperlink>
    </w:p>
    <w:p w14:paraId="6F541007" w14:textId="260411C4" w:rsidR="00C25903" w:rsidRDefault="00C25903" w:rsidP="009E78DA">
      <w:pPr>
        <w:pStyle w:val="ListParagraph"/>
        <w:numPr>
          <w:ilvl w:val="0"/>
          <w:numId w:val="9"/>
        </w:numPr>
        <w:rPr>
          <w:rFonts w:eastAsia="Times New Roman"/>
        </w:rPr>
      </w:pPr>
      <w:r>
        <w:rPr>
          <w:rFonts w:eastAsia="Times New Roman"/>
        </w:rPr>
        <w:t>Do we need to specifically call out the unit</w:t>
      </w:r>
      <w:r w:rsidR="009E78DA">
        <w:rPr>
          <w:rFonts w:eastAsia="Times New Roman"/>
        </w:rPr>
        <w:t xml:space="preserve">s </w:t>
      </w:r>
      <w:r>
        <w:rPr>
          <w:rFonts w:eastAsia="Times New Roman"/>
        </w:rPr>
        <w:t>we are requesting?</w:t>
      </w:r>
    </w:p>
    <w:p w14:paraId="6BC65077" w14:textId="5F182A5F" w:rsidR="00C25903" w:rsidRPr="009E78DA" w:rsidRDefault="009E78DA" w:rsidP="009E78DA">
      <w:pPr>
        <w:ind w:left="360"/>
      </w:pPr>
      <w:r w:rsidRPr="009E78DA">
        <w:t xml:space="preserve">A: </w:t>
      </w:r>
      <w:r w:rsidRPr="009E78DA">
        <w:tab/>
      </w:r>
      <w:r w:rsidR="00C25903" w:rsidRPr="009E78DA">
        <w:t>You do need to submit specific units on the Existing Units tab of the underwriting</w:t>
      </w:r>
    </w:p>
    <w:p w14:paraId="3D1E798B" w14:textId="76611C28" w:rsidR="009E78DA" w:rsidRPr="009E78DA" w:rsidRDefault="009E78DA" w:rsidP="009E78DA">
      <w:pPr>
        <w:pStyle w:val="ListParagraph"/>
        <w:numPr>
          <w:ilvl w:val="0"/>
          <w:numId w:val="9"/>
        </w:numPr>
      </w:pPr>
      <w:r w:rsidRPr="009E78DA">
        <w:t xml:space="preserve">How do we calculate the amount of PBV assistance received on the form 2880? </w:t>
      </w:r>
    </w:p>
    <w:p w14:paraId="2D812F5B" w14:textId="69FFDC0E" w:rsidR="004F7031" w:rsidRDefault="009E78DA" w:rsidP="009E78DA">
      <w:pPr>
        <w:ind w:firstLine="360"/>
      </w:pPr>
      <w:r>
        <w:t xml:space="preserve">A: </w:t>
      </w:r>
      <w:r>
        <w:tab/>
        <w:t xml:space="preserve">You may calculate the requested PBV assistance for this form. </w:t>
      </w:r>
    </w:p>
    <w:p w14:paraId="17A9FCF9" w14:textId="64C1EF29" w:rsidR="00592C5F" w:rsidRPr="00592C5F" w:rsidRDefault="00592C5F" w:rsidP="00592C5F">
      <w:pPr>
        <w:pStyle w:val="ListParagraph"/>
        <w:numPr>
          <w:ilvl w:val="0"/>
          <w:numId w:val="9"/>
        </w:numPr>
        <w:rPr>
          <w:rFonts w:asciiTheme="minorHAnsi" w:eastAsia="Times New Roman" w:hAnsiTheme="minorHAnsi" w:cstheme="minorHAnsi"/>
        </w:rPr>
      </w:pPr>
      <w:r w:rsidRPr="00592C5F">
        <w:rPr>
          <w:rFonts w:asciiTheme="minorHAnsi" w:eastAsia="Times New Roman" w:hAnsiTheme="minorHAnsi" w:cstheme="minorHAnsi"/>
        </w:rPr>
        <w:t>When are</w:t>
      </w:r>
      <w:r w:rsidRPr="00592C5F">
        <w:rPr>
          <w:rFonts w:asciiTheme="minorHAnsi" w:eastAsia="Times New Roman" w:hAnsiTheme="minorHAnsi" w:cstheme="minorHAnsi"/>
        </w:rPr>
        <w:t xml:space="preserve"> EEO and Section 3 requirements be triggered for a PBV property?</w:t>
      </w:r>
    </w:p>
    <w:p w14:paraId="4C4FF5F7" w14:textId="7AA61129" w:rsidR="00592C5F" w:rsidRPr="00592C5F" w:rsidRDefault="00592C5F" w:rsidP="00592C5F">
      <w:pPr>
        <w:pStyle w:val="xmsonormal"/>
        <w:shd w:val="clear" w:color="auto" w:fill="FFFFFF"/>
        <w:tabs>
          <w:tab w:val="left" w:pos="360"/>
        </w:tabs>
        <w:ind w:left="720" w:hanging="360"/>
        <w:rPr>
          <w:rFonts w:asciiTheme="minorHAnsi" w:hAnsiTheme="minorHAnsi" w:cstheme="minorHAnsi"/>
          <w:color w:val="auto"/>
        </w:rPr>
      </w:pPr>
      <w:r w:rsidRPr="00592C5F">
        <w:rPr>
          <w:rFonts w:asciiTheme="minorHAnsi" w:eastAsia="Times New Roman" w:hAnsiTheme="minorHAnsi" w:cstheme="minorHAnsi"/>
          <w:color w:val="auto"/>
        </w:rPr>
        <w:t xml:space="preserve">A: </w:t>
      </w:r>
      <w:r w:rsidRPr="00592C5F">
        <w:rPr>
          <w:rFonts w:asciiTheme="minorHAnsi" w:eastAsia="Times New Roman" w:hAnsiTheme="minorHAnsi" w:cstheme="minorHAnsi"/>
          <w:color w:val="auto"/>
        </w:rPr>
        <w:tab/>
      </w:r>
      <w:r w:rsidRPr="00592C5F">
        <w:rPr>
          <w:rFonts w:asciiTheme="minorHAnsi" w:hAnsiTheme="minorHAnsi" w:cstheme="minorHAnsi"/>
          <w:color w:val="auto"/>
          <w:sz w:val="22"/>
          <w:szCs w:val="22"/>
        </w:rPr>
        <w:t>For projects that have fed funds of $200K or more</w:t>
      </w:r>
      <w:r w:rsidRPr="00592C5F">
        <w:rPr>
          <w:rFonts w:asciiTheme="minorHAnsi" w:hAnsiTheme="minorHAnsi" w:cstheme="minorHAnsi"/>
          <w:color w:val="auto"/>
          <w:sz w:val="22"/>
          <w:szCs w:val="22"/>
        </w:rPr>
        <w:t xml:space="preserve"> during construction</w:t>
      </w:r>
      <w:bookmarkStart w:id="0" w:name="_GoBack"/>
      <w:bookmarkEnd w:id="0"/>
      <w:r w:rsidRPr="00592C5F">
        <w:rPr>
          <w:rFonts w:asciiTheme="minorHAnsi" w:hAnsiTheme="minorHAnsi" w:cstheme="minorHAnsi"/>
          <w:color w:val="auto"/>
          <w:sz w:val="22"/>
          <w:szCs w:val="22"/>
        </w:rPr>
        <w:t>, Section 3 is triggered.</w:t>
      </w:r>
      <w:r w:rsidRPr="00592C5F">
        <w:rPr>
          <w:rFonts w:asciiTheme="minorHAnsi" w:hAnsiTheme="minorHAnsi" w:cstheme="minorHAnsi"/>
          <w:color w:val="auto"/>
          <w:sz w:val="22"/>
          <w:szCs w:val="22"/>
        </w:rPr>
        <w:t xml:space="preserve"> </w:t>
      </w:r>
      <w:r w:rsidRPr="00592C5F">
        <w:rPr>
          <w:rFonts w:asciiTheme="minorHAnsi" w:hAnsiTheme="minorHAnsi" w:cstheme="minorHAnsi"/>
          <w:color w:val="auto"/>
          <w:sz w:val="22"/>
          <w:szCs w:val="22"/>
        </w:rPr>
        <w:t>MWBE is best efforts for all projects.</w:t>
      </w:r>
    </w:p>
    <w:p w14:paraId="7F00E25D" w14:textId="329BF38D" w:rsidR="00592C5F" w:rsidRPr="00592C5F" w:rsidRDefault="00592C5F" w:rsidP="00592C5F">
      <w:pPr>
        <w:ind w:left="360"/>
        <w:rPr>
          <w:rFonts w:eastAsia="Times New Roman" w:cstheme="minorHAnsi"/>
        </w:rPr>
      </w:pPr>
    </w:p>
    <w:p w14:paraId="7B9DF086" w14:textId="77777777" w:rsidR="0071423B" w:rsidRDefault="0071423B"/>
    <w:sectPr w:rsidR="0071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781"/>
    <w:multiLevelType w:val="hybridMultilevel"/>
    <w:tmpl w:val="7E40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F7"/>
    <w:multiLevelType w:val="hybridMultilevel"/>
    <w:tmpl w:val="F0BE5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245DC0"/>
    <w:multiLevelType w:val="hybridMultilevel"/>
    <w:tmpl w:val="C21C58D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B53CC2"/>
    <w:multiLevelType w:val="hybridMultilevel"/>
    <w:tmpl w:val="3D08C86A"/>
    <w:lvl w:ilvl="0" w:tplc="0CDA4A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8A2502"/>
    <w:multiLevelType w:val="hybridMultilevel"/>
    <w:tmpl w:val="F148EF08"/>
    <w:lvl w:ilvl="0" w:tplc="02F85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9142B"/>
    <w:multiLevelType w:val="hybridMultilevel"/>
    <w:tmpl w:val="AC4EA3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36F61"/>
    <w:multiLevelType w:val="hybridMultilevel"/>
    <w:tmpl w:val="D528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53D65"/>
    <w:multiLevelType w:val="hybridMultilevel"/>
    <w:tmpl w:val="1DAEE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D9"/>
    <w:rsid w:val="0019776F"/>
    <w:rsid w:val="001C222A"/>
    <w:rsid w:val="0023656D"/>
    <w:rsid w:val="00252756"/>
    <w:rsid w:val="003A2079"/>
    <w:rsid w:val="003A69E5"/>
    <w:rsid w:val="003B7A9C"/>
    <w:rsid w:val="004F7031"/>
    <w:rsid w:val="00592C5F"/>
    <w:rsid w:val="005D79A3"/>
    <w:rsid w:val="006039C5"/>
    <w:rsid w:val="00626733"/>
    <w:rsid w:val="0071423B"/>
    <w:rsid w:val="008A4AF9"/>
    <w:rsid w:val="009A2ACC"/>
    <w:rsid w:val="009E78DA"/>
    <w:rsid w:val="00A22262"/>
    <w:rsid w:val="00BE193E"/>
    <w:rsid w:val="00C25903"/>
    <w:rsid w:val="00C90CD5"/>
    <w:rsid w:val="00D11433"/>
    <w:rsid w:val="00D445BC"/>
    <w:rsid w:val="00DC542B"/>
    <w:rsid w:val="00DD4ED9"/>
    <w:rsid w:val="00F66413"/>
    <w:rsid w:val="00F91E32"/>
    <w:rsid w:val="00FB206A"/>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9EF2"/>
  <w15:chartTrackingRefBased/>
  <w15:docId w15:val="{73C40BCA-BA63-4AB0-AE0C-F55BCE9E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06A"/>
    <w:rPr>
      <w:color w:val="0563C1" w:themeColor="hyperlink"/>
      <w:u w:val="single"/>
    </w:rPr>
  </w:style>
  <w:style w:type="character" w:styleId="UnresolvedMention">
    <w:name w:val="Unresolved Mention"/>
    <w:basedOn w:val="DefaultParagraphFont"/>
    <w:uiPriority w:val="99"/>
    <w:semiHidden/>
    <w:unhideWhenUsed/>
    <w:rsid w:val="00FB206A"/>
    <w:rPr>
      <w:color w:val="605E5C"/>
      <w:shd w:val="clear" w:color="auto" w:fill="E1DFDD"/>
    </w:rPr>
  </w:style>
  <w:style w:type="paragraph" w:styleId="ListParagraph">
    <w:name w:val="List Paragraph"/>
    <w:basedOn w:val="Normal"/>
    <w:uiPriority w:val="34"/>
    <w:qFormat/>
    <w:rsid w:val="0071423B"/>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3A2079"/>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3A2079"/>
    <w:rPr>
      <w:rFonts w:ascii="Calibri" w:eastAsiaTheme="minorEastAsia" w:hAnsi="Calibri" w:cs="Calibri"/>
      <w:szCs w:val="21"/>
    </w:rPr>
  </w:style>
  <w:style w:type="paragraph" w:customStyle="1" w:styleId="xmsonormal">
    <w:name w:val="x_msonormal"/>
    <w:basedOn w:val="Normal"/>
    <w:rsid w:val="00592C5F"/>
    <w:pPr>
      <w:spacing w:after="0" w:line="240" w:lineRule="auto"/>
    </w:pPr>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4228">
      <w:bodyDiv w:val="1"/>
      <w:marLeft w:val="0"/>
      <w:marRight w:val="0"/>
      <w:marTop w:val="0"/>
      <w:marBottom w:val="0"/>
      <w:divBdr>
        <w:top w:val="none" w:sz="0" w:space="0" w:color="auto"/>
        <w:left w:val="none" w:sz="0" w:space="0" w:color="auto"/>
        <w:bottom w:val="none" w:sz="0" w:space="0" w:color="auto"/>
        <w:right w:val="none" w:sz="0" w:space="0" w:color="auto"/>
      </w:divBdr>
    </w:div>
    <w:div w:id="628048821">
      <w:bodyDiv w:val="1"/>
      <w:marLeft w:val="0"/>
      <w:marRight w:val="0"/>
      <w:marTop w:val="0"/>
      <w:marBottom w:val="0"/>
      <w:divBdr>
        <w:top w:val="none" w:sz="0" w:space="0" w:color="auto"/>
        <w:left w:val="none" w:sz="0" w:space="0" w:color="auto"/>
        <w:bottom w:val="none" w:sz="0" w:space="0" w:color="auto"/>
        <w:right w:val="none" w:sz="0" w:space="0" w:color="auto"/>
      </w:divBdr>
    </w:div>
    <w:div w:id="824972338">
      <w:bodyDiv w:val="1"/>
      <w:marLeft w:val="0"/>
      <w:marRight w:val="0"/>
      <w:marTop w:val="0"/>
      <w:marBottom w:val="0"/>
      <w:divBdr>
        <w:top w:val="none" w:sz="0" w:space="0" w:color="auto"/>
        <w:left w:val="none" w:sz="0" w:space="0" w:color="auto"/>
        <w:bottom w:val="none" w:sz="0" w:space="0" w:color="auto"/>
        <w:right w:val="none" w:sz="0" w:space="0" w:color="auto"/>
      </w:divBdr>
    </w:div>
    <w:div w:id="1080176918">
      <w:bodyDiv w:val="1"/>
      <w:marLeft w:val="0"/>
      <w:marRight w:val="0"/>
      <w:marTop w:val="0"/>
      <w:marBottom w:val="0"/>
      <w:divBdr>
        <w:top w:val="none" w:sz="0" w:space="0" w:color="auto"/>
        <w:left w:val="none" w:sz="0" w:space="0" w:color="auto"/>
        <w:bottom w:val="none" w:sz="0" w:space="0" w:color="auto"/>
        <w:right w:val="none" w:sz="0" w:space="0" w:color="auto"/>
      </w:divBdr>
    </w:div>
    <w:div w:id="1178271977">
      <w:bodyDiv w:val="1"/>
      <w:marLeft w:val="0"/>
      <w:marRight w:val="0"/>
      <w:marTop w:val="0"/>
      <w:marBottom w:val="0"/>
      <w:divBdr>
        <w:top w:val="none" w:sz="0" w:space="0" w:color="auto"/>
        <w:left w:val="none" w:sz="0" w:space="0" w:color="auto"/>
        <w:bottom w:val="none" w:sz="0" w:space="0" w:color="auto"/>
        <w:right w:val="none" w:sz="0" w:space="0" w:color="auto"/>
      </w:divBdr>
    </w:div>
    <w:div w:id="1336614982">
      <w:bodyDiv w:val="1"/>
      <w:marLeft w:val="0"/>
      <w:marRight w:val="0"/>
      <w:marTop w:val="0"/>
      <w:marBottom w:val="0"/>
      <w:divBdr>
        <w:top w:val="none" w:sz="0" w:space="0" w:color="auto"/>
        <w:left w:val="none" w:sz="0" w:space="0" w:color="auto"/>
        <w:bottom w:val="none" w:sz="0" w:space="0" w:color="auto"/>
        <w:right w:val="none" w:sz="0" w:space="0" w:color="auto"/>
      </w:divBdr>
    </w:div>
    <w:div w:id="18616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gov/sites/documents/DAVISBACON.PDF" TargetMode="External"/><Relationship Id="rId5" Type="http://schemas.openxmlformats.org/officeDocument/2006/relationships/hyperlink" Target="mailto:RentalRFP@nysh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dc:creator>
  <cp:keywords/>
  <dc:description/>
  <cp:lastModifiedBy>Loiselle, Courtenay (NYSHCR)</cp:lastModifiedBy>
  <cp:revision>3</cp:revision>
  <dcterms:created xsi:type="dcterms:W3CDTF">2020-08-13T15:50:00Z</dcterms:created>
  <dcterms:modified xsi:type="dcterms:W3CDTF">2020-08-13T15:51:00Z</dcterms:modified>
</cp:coreProperties>
</file>