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3C8C6" w14:textId="561A43DF" w:rsidR="00213EFA" w:rsidRDefault="00213EFA" w:rsidP="00092443">
      <w:bookmarkStart w:id="0" w:name="_GoBack"/>
      <w:bookmarkEnd w:id="0"/>
    </w:p>
    <w:p w14:paraId="48AAAA3D" w14:textId="732B08CE" w:rsidR="00213EFA" w:rsidRPr="003B2878" w:rsidRDefault="003B2878" w:rsidP="003B2878">
      <w:pPr>
        <w:jc w:val="center"/>
        <w:rPr>
          <w:u w:val="single"/>
        </w:rPr>
      </w:pPr>
      <w:r w:rsidRPr="003B2878">
        <w:rPr>
          <w:u w:val="single"/>
        </w:rPr>
        <w:t>Reasonable Cost Schedule Emergency Adoption</w:t>
      </w:r>
    </w:p>
    <w:p w14:paraId="2387A9A3" w14:textId="77777777" w:rsidR="00A90008" w:rsidRDefault="00A90008" w:rsidP="00092443"/>
    <w:p w14:paraId="7B83F65A" w14:textId="783C597F" w:rsidR="0083333D" w:rsidRDefault="00A90008" w:rsidP="00092443">
      <w:r>
        <w:t xml:space="preserve">CONSOLIDATED </w:t>
      </w:r>
      <w:r w:rsidR="0054638E">
        <w:t>REGULATORY FLEXIBILITY ANA</w:t>
      </w:r>
      <w:r w:rsidR="00092443">
        <w:t xml:space="preserve">LYSIS (FOR SMALL BUSINESSES AND </w:t>
      </w:r>
      <w:r w:rsidR="0054638E">
        <w:t>LOCAL GOVERNMENTS)</w:t>
      </w:r>
    </w:p>
    <w:p w14:paraId="108EE145" w14:textId="77777777" w:rsidR="00234780" w:rsidRDefault="00234780" w:rsidP="00234780"/>
    <w:p w14:paraId="5464D03C" w14:textId="77777777" w:rsidR="00234780" w:rsidRDefault="00234780" w:rsidP="00234780"/>
    <w:p w14:paraId="3A95622B" w14:textId="77777777" w:rsidR="0054638E" w:rsidRDefault="0054638E" w:rsidP="0054638E">
      <w:pPr>
        <w:pStyle w:val="ListParagraph"/>
        <w:numPr>
          <w:ilvl w:val="0"/>
          <w:numId w:val="1"/>
        </w:numPr>
      </w:pPr>
      <w:r>
        <w:t xml:space="preserve"> EFFECT OF RULE</w:t>
      </w:r>
    </w:p>
    <w:p w14:paraId="0178D63C" w14:textId="77777777" w:rsidR="00412E8B" w:rsidRDefault="00412E8B" w:rsidP="00092443">
      <w:pPr>
        <w:spacing w:line="480" w:lineRule="auto"/>
        <w:ind w:left="360"/>
      </w:pPr>
    </w:p>
    <w:p w14:paraId="322F10D6" w14:textId="57C80BFC" w:rsidR="00234780" w:rsidRDefault="00035D6A" w:rsidP="001126A0">
      <w:pPr>
        <w:spacing w:line="480" w:lineRule="auto"/>
        <w:ind w:left="360" w:firstLine="360"/>
      </w:pPr>
      <w:r>
        <w:t xml:space="preserve">The </w:t>
      </w:r>
      <w:r w:rsidR="00092443">
        <w:t>Rent Stabilization Code (</w:t>
      </w:r>
      <w:r w:rsidR="009E3E44">
        <w:t>“</w:t>
      </w:r>
      <w:r w:rsidR="00092443">
        <w:t>RSC</w:t>
      </w:r>
      <w:r w:rsidR="009E3E44">
        <w:t>”</w:t>
      </w:r>
      <w:r w:rsidR="00092443">
        <w:t>)</w:t>
      </w:r>
      <w:r w:rsidR="00213EFA">
        <w:t xml:space="preserve"> and the</w:t>
      </w:r>
      <w:r w:rsidR="00F96376">
        <w:t xml:space="preserve"> </w:t>
      </w:r>
      <w:r w:rsidR="00213EFA">
        <w:t>City Rent and Eviction Regulations (</w:t>
      </w:r>
      <w:r w:rsidR="0051642A">
        <w:t>“</w:t>
      </w:r>
      <w:r w:rsidR="00213EFA">
        <w:t>CRER</w:t>
      </w:r>
      <w:r w:rsidR="0051642A">
        <w:t>”</w:t>
      </w:r>
      <w:r w:rsidR="00213EFA">
        <w:t>)</w:t>
      </w:r>
      <w:r w:rsidR="00092443">
        <w:t xml:space="preserve"> appl</w:t>
      </w:r>
      <w:r w:rsidR="00213EFA">
        <w:t>y</w:t>
      </w:r>
      <w:r w:rsidR="00092443">
        <w:t xml:space="preserve"> only to rent stabilized </w:t>
      </w:r>
      <w:r w:rsidR="00213EFA">
        <w:t xml:space="preserve">or rent controlled </w:t>
      </w:r>
      <w:r w:rsidR="00092443">
        <w:t xml:space="preserve">housing units in New York City. </w:t>
      </w:r>
      <w:r w:rsidR="00213EFA">
        <w:t xml:space="preserve"> The Emergency Tenant Protection Regulations (</w:t>
      </w:r>
      <w:r w:rsidR="0051642A">
        <w:t>“</w:t>
      </w:r>
      <w:r w:rsidR="00213EFA">
        <w:t>TPR</w:t>
      </w:r>
      <w:r w:rsidR="0051642A">
        <w:t>”</w:t>
      </w:r>
      <w:r w:rsidR="00213EFA">
        <w:t>) and the State Rent and Eviction Regulations (</w:t>
      </w:r>
      <w:r w:rsidR="0051642A">
        <w:t>“</w:t>
      </w:r>
      <w:r w:rsidR="00213EFA">
        <w:t>SRER</w:t>
      </w:r>
      <w:r w:rsidR="0051642A">
        <w:t>”</w:t>
      </w:r>
      <w:r w:rsidR="00213EFA">
        <w:t xml:space="preserve">) apply only to rent stabilized or rent controlled housing units located in those communities outside of New York City that are subject to the Emergency Tenant Protection Act or the </w:t>
      </w:r>
      <w:r w:rsidR="007E67E6">
        <w:t>Emergency Housing Rent Control Law</w:t>
      </w:r>
      <w:r w:rsidR="00213EFA">
        <w:t xml:space="preserve">.  </w:t>
      </w:r>
      <w:r w:rsidR="00092443">
        <w:t xml:space="preserve">The class of small businesses affected by these proposed amendments </w:t>
      </w:r>
      <w:r w:rsidR="003B3589">
        <w:t>will</w:t>
      </w:r>
      <w:r w:rsidR="00092443">
        <w:t xml:space="preserve"> be small </w:t>
      </w:r>
      <w:r w:rsidR="00C66B92">
        <w:t xml:space="preserve">property </w:t>
      </w:r>
      <w:r w:rsidR="00092443">
        <w:t xml:space="preserve">owners, who own limited numbers of rent </w:t>
      </w:r>
      <w:r w:rsidR="002951CE">
        <w:t xml:space="preserve">regulated </w:t>
      </w:r>
      <w:r w:rsidR="00092443">
        <w:t xml:space="preserve">units.  </w:t>
      </w:r>
      <w:r w:rsidR="003B3589">
        <w:t xml:space="preserve">DHCR has sought to provide alternative and tailored methods of compliance with the </w:t>
      </w:r>
      <w:r w:rsidR="00594369">
        <w:t>r</w:t>
      </w:r>
      <w:r w:rsidR="003B3589">
        <w:t>equirements to provide options to small businesses to limit any additional regulat</w:t>
      </w:r>
      <w:r w:rsidR="006545AB">
        <w:t>ory</w:t>
      </w:r>
      <w:r w:rsidR="003B3589">
        <w:t xml:space="preserve"> burden.</w:t>
      </w:r>
      <w:r w:rsidR="00092443">
        <w:t xml:space="preserve"> These amendments </w:t>
      </w:r>
      <w:r w:rsidR="002951CE">
        <w:t>are</w:t>
      </w:r>
      <w:r w:rsidR="00092443">
        <w:t xml:space="preserve"> expected to have </w:t>
      </w:r>
      <w:r>
        <w:t>no impact on local government</w:t>
      </w:r>
      <w:r w:rsidR="002951CE">
        <w:t>s</w:t>
      </w:r>
      <w:r w:rsidR="00213EFA">
        <w:t>.</w:t>
      </w:r>
    </w:p>
    <w:p w14:paraId="52A5BAFB" w14:textId="77777777" w:rsidR="00234780" w:rsidRDefault="00234780" w:rsidP="00234780"/>
    <w:p w14:paraId="3B0315D6" w14:textId="30809B7D" w:rsidR="00035D6A" w:rsidRDefault="00035D6A" w:rsidP="00035D6A">
      <w:pPr>
        <w:pStyle w:val="ListParagraph"/>
        <w:numPr>
          <w:ilvl w:val="0"/>
          <w:numId w:val="1"/>
        </w:numPr>
      </w:pPr>
      <w:r>
        <w:t>COMPLIANCE REQUIREMENTS</w:t>
      </w:r>
    </w:p>
    <w:p w14:paraId="50D9D530" w14:textId="77777777" w:rsidR="00C3771D" w:rsidRDefault="00C3771D" w:rsidP="00C3771D">
      <w:pPr>
        <w:pStyle w:val="ListParagraph"/>
      </w:pPr>
    </w:p>
    <w:p w14:paraId="33611D7A" w14:textId="56EC5A06" w:rsidR="00234780" w:rsidRDefault="00035D6A" w:rsidP="001126A0">
      <w:pPr>
        <w:spacing w:line="480" w:lineRule="auto"/>
        <w:ind w:left="360" w:firstLine="360"/>
      </w:pPr>
      <w:r>
        <w:t xml:space="preserve">The proposed amendments would require </w:t>
      </w:r>
      <w:r w:rsidR="00234780">
        <w:t xml:space="preserve">small </w:t>
      </w:r>
      <w:r w:rsidR="00092443">
        <w:t>business</w:t>
      </w:r>
      <w:r w:rsidR="00EC42F9">
        <w:t>es</w:t>
      </w:r>
      <w:r w:rsidR="00092443">
        <w:t xml:space="preserve"> that own re</w:t>
      </w:r>
      <w:r w:rsidR="00234780">
        <w:t xml:space="preserve">gulated residential </w:t>
      </w:r>
      <w:r w:rsidR="00092443">
        <w:t xml:space="preserve">housing units </w:t>
      </w:r>
      <w:r>
        <w:t xml:space="preserve">to perform </w:t>
      </w:r>
      <w:r w:rsidR="00427131">
        <w:t xml:space="preserve">some </w:t>
      </w:r>
      <w:r w:rsidR="00F57CAA">
        <w:t xml:space="preserve">minimal </w:t>
      </w:r>
      <w:r>
        <w:t xml:space="preserve">additional recordkeeping </w:t>
      </w:r>
      <w:r w:rsidR="003B3589">
        <w:t xml:space="preserve">and may require additional </w:t>
      </w:r>
      <w:r>
        <w:t>reporting</w:t>
      </w:r>
      <w:r w:rsidR="003B3589">
        <w:t xml:space="preserve"> if an owner seeks a waiver of the schedule</w:t>
      </w:r>
      <w:r>
        <w:t xml:space="preserve">.  </w:t>
      </w:r>
      <w:r w:rsidR="00092443">
        <w:t xml:space="preserve">Such businesses </w:t>
      </w:r>
      <w:r w:rsidR="00234780">
        <w:t xml:space="preserve">will continue to need to keep </w:t>
      </w:r>
      <w:r w:rsidR="008C029E" w:rsidRPr="008C029E">
        <w:t xml:space="preserve">documentation of renovations performed </w:t>
      </w:r>
      <w:r w:rsidR="00A90008">
        <w:t>and establish that improvement costs align with the reasonable cost schedule</w:t>
      </w:r>
      <w:r w:rsidR="003B3589">
        <w:t xml:space="preserve"> or </w:t>
      </w:r>
      <w:r w:rsidR="004849EF">
        <w:t>the reasons it does not</w:t>
      </w:r>
      <w:r w:rsidR="00A90008">
        <w:t>.</w:t>
      </w:r>
      <w:r w:rsidR="004849EF">
        <w:t xml:space="preserve">  However, such additional compliance requirements </w:t>
      </w:r>
      <w:r w:rsidR="00AB45E6">
        <w:t xml:space="preserve">are </w:t>
      </w:r>
      <w:r w:rsidR="004849EF">
        <w:t xml:space="preserve">in </w:t>
      </w:r>
      <w:r w:rsidR="004849EF">
        <w:lastRenderedPageBreak/>
        <w:t xml:space="preserve">keeping with the </w:t>
      </w:r>
      <w:r w:rsidR="006545AB">
        <w:t xml:space="preserve">kind of </w:t>
      </w:r>
      <w:r w:rsidR="004849EF">
        <w:t>due diligence an owner would ordinarily take in the absence of any such regulation to assure it gets the best quality work at a competitive price.</w:t>
      </w:r>
    </w:p>
    <w:p w14:paraId="2FB4B01B" w14:textId="77777777" w:rsidR="00234780" w:rsidRDefault="00035D6A" w:rsidP="00035D6A">
      <w:pPr>
        <w:pStyle w:val="ListParagraph"/>
        <w:numPr>
          <w:ilvl w:val="0"/>
          <w:numId w:val="1"/>
        </w:numPr>
      </w:pPr>
      <w:r>
        <w:t>PROFESSIONAL SERVICES</w:t>
      </w:r>
    </w:p>
    <w:p w14:paraId="24E2DF1A" w14:textId="77777777" w:rsidR="00C3771D" w:rsidRDefault="00C3771D" w:rsidP="001126A0">
      <w:pPr>
        <w:spacing w:line="480" w:lineRule="auto"/>
        <w:ind w:left="360" w:firstLine="360"/>
      </w:pPr>
    </w:p>
    <w:p w14:paraId="67209EC4" w14:textId="1F353C5F" w:rsidR="00412E8B" w:rsidRDefault="00035D6A" w:rsidP="001126A0">
      <w:pPr>
        <w:spacing w:line="480" w:lineRule="auto"/>
        <w:ind w:left="360" w:firstLine="360"/>
      </w:pPr>
      <w:r>
        <w:t xml:space="preserve">The proposed amendments </w:t>
      </w:r>
      <w:r w:rsidR="004849EF">
        <w:t>may</w:t>
      </w:r>
      <w:r>
        <w:t xml:space="preserve"> require small business</w:t>
      </w:r>
      <w:r w:rsidR="00EC42F9">
        <w:t>es</w:t>
      </w:r>
      <w:r>
        <w:t xml:space="preserve"> to obtain new or additional professional services</w:t>
      </w:r>
      <w:r w:rsidR="004849EF">
        <w:t xml:space="preserve"> in the form of architecture or engineering services if it seeks a waiver</w:t>
      </w:r>
      <w:r w:rsidR="00AB45E6">
        <w:t>,</w:t>
      </w:r>
      <w:r w:rsidR="004849EF">
        <w:t xml:space="preserve"> but such services are often already used with respect to a contested MCI application. Further</w:t>
      </w:r>
      <w:r w:rsidR="00AB45E6">
        <w:t>,</w:t>
      </w:r>
      <w:r w:rsidR="004849EF">
        <w:t xml:space="preserve"> the regulation will</w:t>
      </w:r>
      <w:r w:rsidR="002951CE">
        <w:t xml:space="preserve"> require review of costs for major capital improvements </w:t>
      </w:r>
      <w:r w:rsidR="00AB45E6">
        <w:t xml:space="preserve">when </w:t>
      </w:r>
      <w:r w:rsidR="002951CE">
        <w:t xml:space="preserve">contracting for the services </w:t>
      </w:r>
      <w:r w:rsidR="00AB45E6">
        <w:t xml:space="preserve">to be in </w:t>
      </w:r>
      <w:r w:rsidR="002951CE">
        <w:t>compl</w:t>
      </w:r>
      <w:r w:rsidR="00C3771D">
        <w:t>y</w:t>
      </w:r>
      <w:r w:rsidR="002951CE">
        <w:t xml:space="preserve"> with the reasonable cost schedule.</w:t>
      </w:r>
    </w:p>
    <w:p w14:paraId="42E448C9" w14:textId="77777777" w:rsidR="00234780" w:rsidRDefault="00234780" w:rsidP="00234780"/>
    <w:p w14:paraId="4AC91086" w14:textId="77777777" w:rsidR="00234780" w:rsidRDefault="00035D6A" w:rsidP="00035D6A">
      <w:pPr>
        <w:pStyle w:val="ListParagraph"/>
        <w:numPr>
          <w:ilvl w:val="0"/>
          <w:numId w:val="1"/>
        </w:numPr>
      </w:pPr>
      <w:r>
        <w:t xml:space="preserve"> COMPLIANCE COSTS</w:t>
      </w:r>
    </w:p>
    <w:p w14:paraId="1E8BC5CA" w14:textId="77777777" w:rsidR="00035D6A" w:rsidRDefault="00035D6A" w:rsidP="00035D6A">
      <w:pPr>
        <w:ind w:left="360"/>
      </w:pPr>
    </w:p>
    <w:p w14:paraId="1F493FDE" w14:textId="13FEB666" w:rsidR="00F57CAA" w:rsidRDefault="00F57CAA" w:rsidP="001126A0">
      <w:pPr>
        <w:spacing w:line="480" w:lineRule="auto"/>
        <w:ind w:left="360" w:firstLine="360"/>
      </w:pPr>
      <w:r>
        <w:t xml:space="preserve">There is no indication that the proposed amendments will impose </w:t>
      </w:r>
      <w:r w:rsidR="008C029E">
        <w:t xml:space="preserve">significant </w:t>
      </w:r>
      <w:r>
        <w:t>costs</w:t>
      </w:r>
      <w:r w:rsidR="00BB7D74">
        <w:t xml:space="preserve"> </w:t>
      </w:r>
      <w:r>
        <w:t>upon small business</w:t>
      </w:r>
      <w:r w:rsidR="00925DF5">
        <w:t>es</w:t>
      </w:r>
      <w:r w:rsidR="008C029E">
        <w:t xml:space="preserve"> or upon the local government</w:t>
      </w:r>
      <w:r w:rsidR="001126A0">
        <w:t xml:space="preserve"> anticipated by the passage of the HSTPA</w:t>
      </w:r>
      <w:r w:rsidR="00594369">
        <w:t>.</w:t>
      </w:r>
    </w:p>
    <w:p w14:paraId="5823F712" w14:textId="77777777" w:rsidR="00035D6A" w:rsidRDefault="00035D6A" w:rsidP="00035D6A">
      <w:pPr>
        <w:ind w:left="360"/>
      </w:pPr>
    </w:p>
    <w:p w14:paraId="76CA5C0E" w14:textId="0EC36423" w:rsidR="00234780" w:rsidRDefault="00035D6A" w:rsidP="00035D6A">
      <w:pPr>
        <w:pStyle w:val="ListParagraph"/>
        <w:numPr>
          <w:ilvl w:val="0"/>
          <w:numId w:val="1"/>
        </w:numPr>
      </w:pPr>
      <w:r>
        <w:t xml:space="preserve"> ECONOMIC AND TECHNOL</w:t>
      </w:r>
      <w:r w:rsidR="00BB7D74">
        <w:t>O</w:t>
      </w:r>
      <w:r>
        <w:t>GICAL FEASIBILITY</w:t>
      </w:r>
      <w:r>
        <w:tab/>
      </w:r>
    </w:p>
    <w:p w14:paraId="4C3A8237" w14:textId="77777777" w:rsidR="00035D6A" w:rsidRDefault="00035D6A" w:rsidP="00035D6A">
      <w:pPr>
        <w:pStyle w:val="ListParagraph"/>
      </w:pPr>
    </w:p>
    <w:p w14:paraId="1F1DE076" w14:textId="5859C6DA" w:rsidR="00925DF5" w:rsidRDefault="00234780" w:rsidP="001126A0">
      <w:pPr>
        <w:spacing w:line="480" w:lineRule="auto"/>
        <w:ind w:left="360" w:firstLine="360"/>
      </w:pPr>
      <w:r>
        <w:t xml:space="preserve">Compliance is </w:t>
      </w:r>
      <w:r w:rsidR="00035D6A">
        <w:t>not anticipated to require any unusual, new</w:t>
      </w:r>
      <w:r w:rsidR="00C3771D">
        <w:t>,</w:t>
      </w:r>
      <w:r w:rsidR="00035D6A">
        <w:t xml:space="preserve"> or burdenso</w:t>
      </w:r>
      <w:r w:rsidR="00F2277E">
        <w:t>me technological applications</w:t>
      </w:r>
      <w:r w:rsidR="008C029E">
        <w:t xml:space="preserve">.  </w:t>
      </w:r>
      <w:r w:rsidR="00F2277E">
        <w:t xml:space="preserve"> </w:t>
      </w:r>
    </w:p>
    <w:p w14:paraId="5838CDBB" w14:textId="77777777" w:rsidR="00234780" w:rsidRDefault="00035D6A" w:rsidP="00035D6A">
      <w:pPr>
        <w:pStyle w:val="ListParagraph"/>
        <w:numPr>
          <w:ilvl w:val="0"/>
          <w:numId w:val="1"/>
        </w:numPr>
      </w:pPr>
      <w:r>
        <w:t xml:space="preserve"> MINIMIZING ADVERSE IMPACT </w:t>
      </w:r>
    </w:p>
    <w:p w14:paraId="163967FC" w14:textId="77777777" w:rsidR="00234780" w:rsidRDefault="00234780" w:rsidP="00035D6A">
      <w:pPr>
        <w:ind w:left="360"/>
      </w:pPr>
    </w:p>
    <w:p w14:paraId="3CE29574" w14:textId="7DB6DA8F" w:rsidR="00422BFF" w:rsidRDefault="00422BFF" w:rsidP="001126A0">
      <w:pPr>
        <w:spacing w:line="480" w:lineRule="auto"/>
        <w:ind w:left="360" w:firstLine="360"/>
      </w:pPr>
      <w:r>
        <w:t xml:space="preserve">The proposed regulations have no adverse impact on local government.  They </w:t>
      </w:r>
      <w:r w:rsidR="004849EF">
        <w:t>may</w:t>
      </w:r>
      <w:r>
        <w:t xml:space="preserve"> have </w:t>
      </w:r>
      <w:r w:rsidR="004849EF">
        <w:t xml:space="preserve">some </w:t>
      </w:r>
      <w:r>
        <w:t>minimal costs to businesses</w:t>
      </w:r>
      <w:r w:rsidR="003A0D4F">
        <w:t xml:space="preserve"> which must be weighed against that the rule is required by statute and </w:t>
      </w:r>
      <w:r>
        <w:t xml:space="preserve">necessary to enforce statutes designed to protect the public health safety and welfare.  The regulations do not create different regulatory standards for small businesses.  It is difficult, on a blanket regulatory basis, to make </w:t>
      </w:r>
      <w:r>
        <w:lastRenderedPageBreak/>
        <w:t>exceptions for small businesses</w:t>
      </w:r>
      <w:r w:rsidR="00BB7D74">
        <w:t>,</w:t>
      </w:r>
      <w:r w:rsidR="003A0D4F">
        <w:t xml:space="preserve"> but </w:t>
      </w:r>
      <w:r w:rsidR="006545AB">
        <w:t xml:space="preserve">the regulation </w:t>
      </w:r>
      <w:r w:rsidR="003A0D4F">
        <w:t xml:space="preserve">does allow </w:t>
      </w:r>
      <w:r w:rsidR="006545AB">
        <w:t xml:space="preserve">small businesses </w:t>
      </w:r>
      <w:r w:rsidR="003A0D4F">
        <w:t xml:space="preserve">to use exceptions available to owners under certain circumstances.  </w:t>
      </w:r>
      <w:r>
        <w:t>Outside of the administrative proceedings themselves</w:t>
      </w:r>
      <w:r w:rsidR="003A0D4F">
        <w:t xml:space="preserve"> where these applications are made on a building by building or complex-wide basis</w:t>
      </w:r>
      <w:r>
        <w:t>, it is difficult to ascertain the size of the business</w:t>
      </w:r>
      <w:r w:rsidR="003A0D4F">
        <w:t>es</w:t>
      </w:r>
      <w:r>
        <w:t xml:space="preserve"> subject to these regulations as a single business may own multiple properties </w:t>
      </w:r>
      <w:r w:rsidR="003A0D4F">
        <w:t xml:space="preserve">with each applicant </w:t>
      </w:r>
      <w:r>
        <w:t xml:space="preserve">often created as </w:t>
      </w:r>
      <w:r w:rsidR="00BB7D74">
        <w:t xml:space="preserve">a </w:t>
      </w:r>
      <w:r>
        <w:t xml:space="preserve">single asset corporation. To the extent the approaches suggested in SAPA section 202-b are appropriate, present procedures take these into account. </w:t>
      </w:r>
    </w:p>
    <w:p w14:paraId="2AF56624" w14:textId="77777777" w:rsidR="000A46AB" w:rsidRDefault="000A46AB" w:rsidP="000A46AB">
      <w:pPr>
        <w:ind w:left="360"/>
      </w:pPr>
    </w:p>
    <w:p w14:paraId="235C40A2" w14:textId="77777777" w:rsidR="00234780" w:rsidRDefault="00053FA3" w:rsidP="000A46AB">
      <w:pPr>
        <w:pStyle w:val="ListParagraph"/>
        <w:numPr>
          <w:ilvl w:val="0"/>
          <w:numId w:val="1"/>
        </w:numPr>
      </w:pPr>
      <w:r>
        <w:t>SMALL BUSINESS AND LOCAL GOVERNMENT PARTICIPATION</w:t>
      </w:r>
    </w:p>
    <w:p w14:paraId="25283A41" w14:textId="77777777" w:rsidR="009E3E44" w:rsidRDefault="009E3E44" w:rsidP="009E3E44">
      <w:pPr>
        <w:pStyle w:val="ListParagraph"/>
      </w:pPr>
    </w:p>
    <w:p w14:paraId="6A0523DE" w14:textId="6D68BE88" w:rsidR="00104C48" w:rsidRDefault="00104C48" w:rsidP="001126A0">
      <w:pPr>
        <w:spacing w:line="480" w:lineRule="auto"/>
        <w:ind w:left="360" w:firstLine="360"/>
      </w:pPr>
      <w:r>
        <w:t xml:space="preserve">The </w:t>
      </w:r>
      <w:r w:rsidR="00422BFF">
        <w:t xml:space="preserve">rent laws and regulations </w:t>
      </w:r>
      <w:r>
        <w:t xml:space="preserve">empower DHCR to enforce the law and determine </w:t>
      </w:r>
      <w:r w:rsidR="00A90008">
        <w:t xml:space="preserve">allowances for building improvements. </w:t>
      </w:r>
      <w:r>
        <w:t xml:space="preserve">These regulations apply </w:t>
      </w:r>
      <w:r w:rsidR="00A90008">
        <w:t>t</w:t>
      </w:r>
      <w:r>
        <w:t xml:space="preserve">o a specific situation regarding </w:t>
      </w:r>
      <w:r w:rsidR="00A90008">
        <w:t xml:space="preserve">reasonable costs for </w:t>
      </w:r>
      <w:r w:rsidR="003A0D4F">
        <w:t xml:space="preserve">certain building </w:t>
      </w:r>
      <w:r w:rsidR="00A90008">
        <w:t>improvements</w:t>
      </w:r>
      <w:r>
        <w:t xml:space="preserve">.  </w:t>
      </w:r>
      <w:r w:rsidR="003A0D4F">
        <w:t>Meetings have been held with both business owner</w:t>
      </w:r>
      <w:r w:rsidR="00BB7D74">
        <w:t>s</w:t>
      </w:r>
      <w:r w:rsidR="003A0D4F">
        <w:t xml:space="preserve"> and affect</w:t>
      </w:r>
      <w:r w:rsidR="006545AB">
        <w:t>ed</w:t>
      </w:r>
      <w:r w:rsidR="003A0D4F">
        <w:t xml:space="preserve"> tenant</w:t>
      </w:r>
      <w:r w:rsidR="006545AB">
        <w:t xml:space="preserve"> interest groups.</w:t>
      </w:r>
      <w:r w:rsidR="003A0D4F">
        <w:t xml:space="preserve">  </w:t>
      </w:r>
    </w:p>
    <w:p w14:paraId="4A090097" w14:textId="20EBD6E8" w:rsidR="00104C48" w:rsidRDefault="00A90008" w:rsidP="001126A0">
      <w:pPr>
        <w:spacing w:line="480" w:lineRule="auto"/>
        <w:ind w:left="360" w:firstLine="360"/>
      </w:pPr>
      <w:r>
        <w:t xml:space="preserve">In addition, </w:t>
      </w:r>
      <w:r w:rsidR="00104C48">
        <w:t xml:space="preserve">all interested parties </w:t>
      </w:r>
      <w:r>
        <w:t xml:space="preserve">will have an </w:t>
      </w:r>
      <w:r w:rsidR="00104C48">
        <w:t>opportunity to comment</w:t>
      </w:r>
      <w:r>
        <w:t xml:space="preserve"> </w:t>
      </w:r>
      <w:r w:rsidR="003A0D4F">
        <w:t xml:space="preserve">as part of this SAPA process </w:t>
      </w:r>
      <w:r>
        <w:t>and a</w:t>
      </w:r>
      <w:r w:rsidR="00104C48">
        <w:t>ll issues raised by concerned parties will be carefully reviewed and considered by DHCR</w:t>
      </w:r>
      <w:r w:rsidR="003A0D4F">
        <w:t xml:space="preserve"> prior to final promulgation</w:t>
      </w:r>
      <w:r w:rsidR="00104C48">
        <w:t xml:space="preserve">. </w:t>
      </w:r>
    </w:p>
    <w:p w14:paraId="7D77AF09" w14:textId="73F0C69C" w:rsidR="009E3E44" w:rsidRDefault="003A0D4F" w:rsidP="001126A0">
      <w:pPr>
        <w:spacing w:line="480" w:lineRule="auto"/>
        <w:ind w:left="360" w:firstLine="360"/>
      </w:pPr>
      <w:r>
        <w:t>This process will include public hearings and a review</w:t>
      </w:r>
      <w:r w:rsidR="009E3E44">
        <w:t xml:space="preserve"> by the New York City Department of Housing Preservation and Development </w:t>
      </w:r>
      <w:r>
        <w:t xml:space="preserve">as required by law </w:t>
      </w:r>
      <w:r w:rsidR="009E3E44">
        <w:t xml:space="preserve">prior to </w:t>
      </w:r>
      <w:r>
        <w:t xml:space="preserve">its </w:t>
      </w:r>
      <w:r w:rsidR="00422BFF">
        <w:t>final adoption</w:t>
      </w:r>
      <w:r w:rsidR="009E3E44">
        <w:t xml:space="preserve">. </w:t>
      </w:r>
    </w:p>
    <w:sectPr w:rsidR="009E3E4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7C91C" w14:textId="77777777" w:rsidR="00782F8D" w:rsidRDefault="00782F8D" w:rsidP="00D57234">
      <w:r>
        <w:separator/>
      </w:r>
    </w:p>
  </w:endnote>
  <w:endnote w:type="continuationSeparator" w:id="0">
    <w:p w14:paraId="76ECDB92" w14:textId="77777777" w:rsidR="00782F8D" w:rsidRDefault="00782F8D" w:rsidP="00D57234">
      <w:r>
        <w:continuationSeparator/>
      </w:r>
    </w:p>
  </w:endnote>
  <w:endnote w:type="continuationNotice" w:id="1">
    <w:p w14:paraId="46AF2D9E" w14:textId="77777777" w:rsidR="00782F8D" w:rsidRDefault="00782F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0545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2CF6A" w14:textId="391A5050" w:rsidR="00D8762C" w:rsidRDefault="00D876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6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9BDECA" w14:textId="77777777" w:rsidR="00D8762C" w:rsidRDefault="00D876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AF987" w14:textId="77777777" w:rsidR="00782F8D" w:rsidRDefault="00782F8D" w:rsidP="00D57234">
      <w:r>
        <w:separator/>
      </w:r>
    </w:p>
  </w:footnote>
  <w:footnote w:type="continuationSeparator" w:id="0">
    <w:p w14:paraId="13B290E1" w14:textId="77777777" w:rsidR="00782F8D" w:rsidRDefault="00782F8D" w:rsidP="00D57234">
      <w:r>
        <w:continuationSeparator/>
      </w:r>
    </w:p>
  </w:footnote>
  <w:footnote w:type="continuationNotice" w:id="1">
    <w:p w14:paraId="1DBDF778" w14:textId="77777777" w:rsidR="00782F8D" w:rsidRDefault="00782F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840DA"/>
    <w:multiLevelType w:val="hybridMultilevel"/>
    <w:tmpl w:val="35566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E60415"/>
    <w:multiLevelType w:val="hybridMultilevel"/>
    <w:tmpl w:val="2B52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80"/>
    <w:rsid w:val="00035D6A"/>
    <w:rsid w:val="000518D3"/>
    <w:rsid w:val="00053FA3"/>
    <w:rsid w:val="00092443"/>
    <w:rsid w:val="000A46AB"/>
    <w:rsid w:val="000D5BE9"/>
    <w:rsid w:val="0010468A"/>
    <w:rsid w:val="00104C48"/>
    <w:rsid w:val="001126A0"/>
    <w:rsid w:val="0011661F"/>
    <w:rsid w:val="001268F1"/>
    <w:rsid w:val="00144A55"/>
    <w:rsid w:val="0016521D"/>
    <w:rsid w:val="001C75B0"/>
    <w:rsid w:val="001F3147"/>
    <w:rsid w:val="001F7B57"/>
    <w:rsid w:val="00213EFA"/>
    <w:rsid w:val="00234780"/>
    <w:rsid w:val="00236BB0"/>
    <w:rsid w:val="002951CE"/>
    <w:rsid w:val="002B24B3"/>
    <w:rsid w:val="0033771A"/>
    <w:rsid w:val="003A0D4F"/>
    <w:rsid w:val="003B2878"/>
    <w:rsid w:val="003B3589"/>
    <w:rsid w:val="003C23B1"/>
    <w:rsid w:val="003E455C"/>
    <w:rsid w:val="003F2F04"/>
    <w:rsid w:val="00410E2D"/>
    <w:rsid w:val="00412E8B"/>
    <w:rsid w:val="00422BFF"/>
    <w:rsid w:val="00427131"/>
    <w:rsid w:val="0044238D"/>
    <w:rsid w:val="00460069"/>
    <w:rsid w:val="0046314F"/>
    <w:rsid w:val="004849EF"/>
    <w:rsid w:val="004B3A4E"/>
    <w:rsid w:val="004F5FC5"/>
    <w:rsid w:val="0051642A"/>
    <w:rsid w:val="005220C8"/>
    <w:rsid w:val="0054638E"/>
    <w:rsid w:val="00594369"/>
    <w:rsid w:val="005D47C5"/>
    <w:rsid w:val="005E581F"/>
    <w:rsid w:val="005F7351"/>
    <w:rsid w:val="0060765D"/>
    <w:rsid w:val="006435A6"/>
    <w:rsid w:val="006545AB"/>
    <w:rsid w:val="00685195"/>
    <w:rsid w:val="006A296A"/>
    <w:rsid w:val="006A2C0E"/>
    <w:rsid w:val="006F1F8E"/>
    <w:rsid w:val="00731C6C"/>
    <w:rsid w:val="00767D94"/>
    <w:rsid w:val="00782F8D"/>
    <w:rsid w:val="007C0DB3"/>
    <w:rsid w:val="007E2D7F"/>
    <w:rsid w:val="007E67E6"/>
    <w:rsid w:val="00802CE7"/>
    <w:rsid w:val="00806D59"/>
    <w:rsid w:val="0082286A"/>
    <w:rsid w:val="0083333D"/>
    <w:rsid w:val="0083573E"/>
    <w:rsid w:val="00870C1C"/>
    <w:rsid w:val="008B4581"/>
    <w:rsid w:val="008C029E"/>
    <w:rsid w:val="008C0966"/>
    <w:rsid w:val="008D3844"/>
    <w:rsid w:val="00907CDD"/>
    <w:rsid w:val="00917824"/>
    <w:rsid w:val="00925DF5"/>
    <w:rsid w:val="00943651"/>
    <w:rsid w:val="009B27AB"/>
    <w:rsid w:val="009E3E44"/>
    <w:rsid w:val="009F301A"/>
    <w:rsid w:val="00A0479F"/>
    <w:rsid w:val="00A33F5E"/>
    <w:rsid w:val="00A36076"/>
    <w:rsid w:val="00A37A2B"/>
    <w:rsid w:val="00A475EE"/>
    <w:rsid w:val="00A90008"/>
    <w:rsid w:val="00AA09AB"/>
    <w:rsid w:val="00AB45E6"/>
    <w:rsid w:val="00B3210E"/>
    <w:rsid w:val="00B3795C"/>
    <w:rsid w:val="00B64001"/>
    <w:rsid w:val="00B91645"/>
    <w:rsid w:val="00B9729E"/>
    <w:rsid w:val="00BB7D74"/>
    <w:rsid w:val="00C241E1"/>
    <w:rsid w:val="00C3771D"/>
    <w:rsid w:val="00C6449B"/>
    <w:rsid w:val="00C66B92"/>
    <w:rsid w:val="00CA5C91"/>
    <w:rsid w:val="00CE2C53"/>
    <w:rsid w:val="00CF4135"/>
    <w:rsid w:val="00D20C3E"/>
    <w:rsid w:val="00D222DF"/>
    <w:rsid w:val="00D57234"/>
    <w:rsid w:val="00D67E0A"/>
    <w:rsid w:val="00D8762C"/>
    <w:rsid w:val="00D8768E"/>
    <w:rsid w:val="00DD5A03"/>
    <w:rsid w:val="00E65E5F"/>
    <w:rsid w:val="00EC2C8A"/>
    <w:rsid w:val="00EC3CA5"/>
    <w:rsid w:val="00EC42F9"/>
    <w:rsid w:val="00EE5665"/>
    <w:rsid w:val="00EF74CB"/>
    <w:rsid w:val="00F2277E"/>
    <w:rsid w:val="00F30151"/>
    <w:rsid w:val="00F44EA1"/>
    <w:rsid w:val="00F57CAA"/>
    <w:rsid w:val="00F86034"/>
    <w:rsid w:val="00F91066"/>
    <w:rsid w:val="00F96376"/>
    <w:rsid w:val="00F97158"/>
    <w:rsid w:val="00FD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3376F8"/>
  <w15:docId w15:val="{E82BDE2F-3717-4DA1-801A-178D3232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54638E"/>
    <w:pPr>
      <w:ind w:left="720"/>
      <w:contextualSpacing/>
    </w:pPr>
  </w:style>
  <w:style w:type="paragraph" w:styleId="Header">
    <w:name w:val="header"/>
    <w:basedOn w:val="Normal"/>
    <w:link w:val="HeaderChar"/>
    <w:rsid w:val="00D57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723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57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234"/>
    <w:rPr>
      <w:sz w:val="24"/>
      <w:szCs w:val="24"/>
    </w:rPr>
  </w:style>
  <w:style w:type="paragraph" w:styleId="Revision">
    <w:name w:val="Revision"/>
    <w:hidden/>
    <w:uiPriority w:val="99"/>
    <w:semiHidden/>
    <w:rsid w:val="000518D3"/>
    <w:rPr>
      <w:sz w:val="24"/>
      <w:szCs w:val="24"/>
    </w:rPr>
  </w:style>
  <w:style w:type="paragraph" w:styleId="BalloonText">
    <w:name w:val="Balloon Text"/>
    <w:basedOn w:val="Normal"/>
    <w:link w:val="BalloonTextChar"/>
    <w:rsid w:val="000518D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18D3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AB45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B45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45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B4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4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9F7A-4F96-48D8-A1D5-EA9B4439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HCR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DHCR</dc:creator>
  <cp:lastModifiedBy>Susan Kearns</cp:lastModifiedBy>
  <cp:revision>3</cp:revision>
  <cp:lastPrinted>2018-05-31T18:03:00Z</cp:lastPrinted>
  <dcterms:created xsi:type="dcterms:W3CDTF">2020-06-16T19:32:00Z</dcterms:created>
  <dcterms:modified xsi:type="dcterms:W3CDTF">2020-06-16T19:33:00Z</dcterms:modified>
</cp:coreProperties>
</file>