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D8F7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06B240A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7F6797CA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44371F03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11AD8F08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4A54F0AF" w14:textId="0ECD4167" w:rsidR="007E645B" w:rsidRPr="00833A31" w:rsidRDefault="007E645B" w:rsidP="007E645B">
      <w:pPr>
        <w:jc w:val="both"/>
      </w:pPr>
      <w:r w:rsidRPr="00833A31">
        <w:t xml:space="preserve">PUBLIC NOTICE IS HEREBY GIVEN that, at the time and place set forth below, the New York State Housing Finance Agency (the “Agency”) will conduct a public hearing for the purpose of giving interested </w:t>
      </w:r>
      <w:r w:rsidR="0083427E" w:rsidRPr="00833A31">
        <w:t>persons</w:t>
      </w:r>
      <w:r w:rsidRPr="00833A31">
        <w:t xml:space="preserve"> an opportunity to </w:t>
      </w:r>
      <w:r w:rsidR="00850BF4" w:rsidRPr="00833A31">
        <w:t>express their views, orally or in writing,</w:t>
      </w:r>
      <w:r w:rsidRPr="00833A31">
        <w:t xml:space="preserve"> regarding the proposed</w:t>
      </w:r>
      <w:r w:rsidR="00850BF4" w:rsidRPr="00833A31">
        <w:t xml:space="preserve"> multifamily residential rental project listed below (the “Project”)</w:t>
      </w:r>
      <w:r w:rsidR="008A71C9" w:rsidRPr="00833A31">
        <w:t xml:space="preserve"> and the</w:t>
      </w:r>
      <w:r w:rsidRPr="00833A31">
        <w:t xml:space="preserve"> issuance of tax-exempt and/or taxable multifamily housing revenue bonds (“Bonds”) for the purpose of providing a portion of the funds </w:t>
      </w:r>
      <w:r w:rsidR="00850BF4" w:rsidRPr="00833A31">
        <w:t xml:space="preserve">by making one or more mortgage loans </w:t>
      </w:r>
      <w:r w:rsidR="00FD1B60" w:rsidRPr="00833A31">
        <w:t>in order to</w:t>
      </w:r>
      <w:r w:rsidRPr="00833A31">
        <w:t xml:space="preserve"> </w:t>
      </w:r>
      <w:r w:rsidR="00FD1B60" w:rsidRPr="00833A31">
        <w:t>(</w:t>
      </w:r>
      <w:proofErr w:type="spellStart"/>
      <w:r w:rsidR="00FD1B60" w:rsidRPr="00833A31">
        <w:t>i</w:t>
      </w:r>
      <w:proofErr w:type="spellEnd"/>
      <w:r w:rsidR="00FD1B60" w:rsidRPr="00833A31">
        <w:t xml:space="preserve">) </w:t>
      </w:r>
      <w:r w:rsidR="00850BF4" w:rsidRPr="00833A31">
        <w:t xml:space="preserve">finance or refinance, in whole or in part, </w:t>
      </w:r>
      <w:r w:rsidR="00FD1B60" w:rsidRPr="00833A31">
        <w:t>the</w:t>
      </w:r>
      <w:r w:rsidRPr="00833A31">
        <w:t xml:space="preserve"> acquisition, construction and/or rehabilitation of </w:t>
      </w:r>
      <w:r w:rsidR="00F8507D">
        <w:t>the</w:t>
      </w:r>
      <w:r w:rsidR="00850BF4" w:rsidRPr="00833A31">
        <w:t xml:space="preserve"> </w:t>
      </w:r>
      <w:r w:rsidR="00F8507D">
        <w:t>Project</w:t>
      </w:r>
      <w:r w:rsidRPr="00833A31">
        <w:t>,</w:t>
      </w:r>
      <w:r w:rsidR="00FD1B60" w:rsidRPr="00833A31">
        <w:t xml:space="preserve"> (ii</w:t>
      </w:r>
      <w:r w:rsidR="00850BF4" w:rsidRPr="00833A31">
        <w:t xml:space="preserve">) </w:t>
      </w:r>
      <w:r w:rsidR="00FD1B60" w:rsidRPr="00833A31">
        <w:t>finance reserve funds and/or costs of issuance related to the Bonds, and/or (i</w:t>
      </w:r>
      <w:r w:rsidR="00850BF4" w:rsidRPr="00833A31">
        <w:t>ii</w:t>
      </w:r>
      <w:r w:rsidR="00FD1B60" w:rsidRPr="00833A31">
        <w:t>)</w:t>
      </w:r>
      <w:r w:rsidRPr="00833A31">
        <w:t xml:space="preserve"> </w:t>
      </w:r>
      <w:r w:rsidR="0032154A" w:rsidRPr="00833A31">
        <w:t>refund</w:t>
      </w:r>
      <w:r w:rsidRPr="00833A31">
        <w:t xml:space="preserve"> bonds of the Agency</w:t>
      </w:r>
      <w:r w:rsidR="00FD1B60" w:rsidRPr="00833A31">
        <w:t xml:space="preserve"> in</w:t>
      </w:r>
      <w:r w:rsidR="009E314E" w:rsidRPr="00833A31">
        <w:t xml:space="preserve"> </w:t>
      </w:r>
      <w:r w:rsidR="00FD1B60" w:rsidRPr="00833A31">
        <w:t>order</w:t>
      </w:r>
      <w:r w:rsidRPr="00833A31">
        <w:t xml:space="preserve"> to make additional funds </w:t>
      </w:r>
      <w:r w:rsidR="009E314E" w:rsidRPr="00833A31">
        <w:t xml:space="preserve">available </w:t>
      </w:r>
      <w:r w:rsidR="00F8507D">
        <w:t>for</w:t>
      </w:r>
      <w:r w:rsidR="009E314E" w:rsidRPr="00833A31">
        <w:t xml:space="preserve"> </w:t>
      </w:r>
      <w:r w:rsidR="00850BF4" w:rsidRPr="00833A31">
        <w:t xml:space="preserve">the </w:t>
      </w:r>
      <w:r w:rsidR="00F8507D">
        <w:t>Project</w:t>
      </w:r>
      <w:r w:rsidR="009E314E" w:rsidRPr="00833A31">
        <w:t>.</w:t>
      </w:r>
      <w:r w:rsidRPr="00833A31">
        <w:t xml:space="preserve">  </w:t>
      </w:r>
      <w:r w:rsidR="00850BF4" w:rsidRPr="00833A31">
        <w:t>The</w:t>
      </w:r>
      <w:r w:rsidRPr="00833A31">
        <w:t xml:space="preserve"> Bonds may be issued in one or more series (one or more series of which may have previously been issued).  </w:t>
      </w:r>
      <w:r w:rsidRPr="00833A31">
        <w:rPr>
          <w:i/>
        </w:rPr>
        <w:t>The Bonds will not constitute a debt or obligation of the State of New York.</w:t>
      </w:r>
    </w:p>
    <w:p w14:paraId="37A24E0E" w14:textId="77777777" w:rsidR="0078050F" w:rsidRPr="00833A31" w:rsidRDefault="0078050F" w:rsidP="007E645B">
      <w:pPr>
        <w:rPr>
          <w:b/>
          <w:u w:val="single"/>
        </w:rPr>
      </w:pPr>
    </w:p>
    <w:p w14:paraId="640BE686" w14:textId="77777777" w:rsidR="00FF24EA" w:rsidRPr="00833A31" w:rsidRDefault="00FF24EA" w:rsidP="00FF24EA">
      <w:pPr>
        <w:rPr>
          <w:b/>
        </w:rPr>
      </w:pPr>
      <w:r w:rsidRPr="00833A31">
        <w:rPr>
          <w:b/>
          <w:u w:val="single"/>
        </w:rPr>
        <w:t>Hearing Location</w:t>
      </w:r>
      <w:r w:rsidRPr="00833A31">
        <w:t>:</w:t>
      </w:r>
      <w:r w:rsidRPr="00833A31">
        <w:tab/>
      </w:r>
      <w:r w:rsidRPr="00833A31">
        <w:tab/>
      </w:r>
      <w:r w:rsidRPr="00833A31">
        <w:rPr>
          <w:b/>
        </w:rPr>
        <w:t xml:space="preserve">New York State Housing Finance Agency </w:t>
      </w:r>
    </w:p>
    <w:p w14:paraId="379785BC" w14:textId="77777777" w:rsidR="00FF24EA" w:rsidRPr="00833A31" w:rsidRDefault="00FF24EA" w:rsidP="00FF24EA">
      <w:pPr>
        <w:ind w:left="2880"/>
        <w:rPr>
          <w:b/>
        </w:rPr>
      </w:pPr>
      <w:bookmarkStart w:id="0" w:name="_DV_C5"/>
      <w:r w:rsidRPr="00833A31">
        <w:rPr>
          <w:b/>
        </w:rPr>
        <w:t xml:space="preserve">415 Madison </w:t>
      </w:r>
      <w:bookmarkEnd w:id="0"/>
      <w:r w:rsidRPr="00833A31">
        <w:rPr>
          <w:b/>
        </w:rPr>
        <w:t>Avenue, 16</w:t>
      </w:r>
      <w:r w:rsidRPr="00833A31">
        <w:rPr>
          <w:b/>
          <w:vertAlign w:val="superscript"/>
        </w:rPr>
        <w:t>th</w:t>
      </w:r>
      <w:r w:rsidRPr="00833A31">
        <w:rPr>
          <w:b/>
        </w:rPr>
        <w:t xml:space="preserve"> Floor</w:t>
      </w:r>
      <w:bookmarkStart w:id="1" w:name="_DV_C6"/>
      <w:r w:rsidRPr="00833A31">
        <w:rPr>
          <w:b/>
        </w:rPr>
        <w:t xml:space="preserve">, New York, N.Y. </w:t>
      </w:r>
      <w:bookmarkEnd w:id="1"/>
      <w:r w:rsidRPr="00833A31">
        <w:rPr>
          <w:b/>
        </w:rPr>
        <w:t>10017</w:t>
      </w:r>
    </w:p>
    <w:p w14:paraId="4AF25C15" w14:textId="02FBC871" w:rsidR="00FF24EA" w:rsidRPr="00833A31" w:rsidRDefault="00FF24EA" w:rsidP="00FF24EA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  <w:t xml:space="preserve">Tuesday, </w:t>
      </w:r>
      <w:r>
        <w:rPr>
          <w:b/>
        </w:rPr>
        <w:t>May 7</w:t>
      </w:r>
      <w:r w:rsidRPr="00833A31">
        <w:rPr>
          <w:b/>
        </w:rPr>
        <w:t>, 2019, 5:30 p.m.</w:t>
      </w:r>
    </w:p>
    <w:p w14:paraId="4EC362DA" w14:textId="77777777" w:rsidR="00FF24EA" w:rsidRPr="00833A31" w:rsidRDefault="00FF24EA" w:rsidP="00FF24EA">
      <w:pPr>
        <w:rPr>
          <w:b/>
        </w:rPr>
      </w:pPr>
    </w:p>
    <w:p w14:paraId="38B41B24" w14:textId="77777777" w:rsidR="00FF24EA" w:rsidRPr="00833A31" w:rsidRDefault="00FF24EA" w:rsidP="00FF24EA">
      <w:pPr>
        <w:rPr>
          <w:b/>
          <w:sz w:val="16"/>
          <w:szCs w:val="16"/>
          <w:u w:val="single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510"/>
        <w:gridCol w:w="1672"/>
        <w:gridCol w:w="2198"/>
      </w:tblGrid>
      <w:tr w:rsidR="00FF24EA" w:rsidRPr="00833A31" w14:paraId="3D861F18" w14:textId="77777777" w:rsidTr="000F47F8">
        <w:tc>
          <w:tcPr>
            <w:tcW w:w="2875" w:type="dxa"/>
          </w:tcPr>
          <w:p w14:paraId="7081F4AA" w14:textId="77777777" w:rsidR="00FF24EA" w:rsidRPr="00833A31" w:rsidRDefault="00FF24EA" w:rsidP="000F47F8">
            <w:pPr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Project Name and Location</w:t>
            </w:r>
          </w:p>
        </w:tc>
        <w:tc>
          <w:tcPr>
            <w:tcW w:w="3510" w:type="dxa"/>
          </w:tcPr>
          <w:p w14:paraId="44940DA0" w14:textId="77777777" w:rsidR="00FF24EA" w:rsidRPr="00833A31" w:rsidRDefault="00FF24EA" w:rsidP="000F47F8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Owner</w:t>
            </w:r>
          </w:p>
        </w:tc>
        <w:tc>
          <w:tcPr>
            <w:tcW w:w="1672" w:type="dxa"/>
          </w:tcPr>
          <w:p w14:paraId="7EDB944E" w14:textId="77777777" w:rsidR="00FF24EA" w:rsidRPr="00833A31" w:rsidRDefault="00FF24EA" w:rsidP="000F47F8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Approx. # Units</w:t>
            </w:r>
          </w:p>
        </w:tc>
        <w:tc>
          <w:tcPr>
            <w:tcW w:w="2198" w:type="dxa"/>
          </w:tcPr>
          <w:p w14:paraId="48D564BA" w14:textId="77777777" w:rsidR="00FF24EA" w:rsidRPr="00833A31" w:rsidRDefault="00FF24EA" w:rsidP="000F47F8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Estimated not-to-exceed amount of tax-exempt Bonds</w:t>
            </w:r>
          </w:p>
        </w:tc>
      </w:tr>
      <w:tr w:rsidR="00FF24EA" w:rsidRPr="00833A31" w14:paraId="7C0617DE" w14:textId="77777777" w:rsidTr="000F47F8">
        <w:tc>
          <w:tcPr>
            <w:tcW w:w="2875" w:type="dxa"/>
          </w:tcPr>
          <w:p w14:paraId="5D63A84B" w14:textId="021D6C9A" w:rsidR="00FF24EA" w:rsidRPr="00833A31" w:rsidRDefault="00FF24EA" w:rsidP="000F47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Casa </w:t>
            </w:r>
            <w:proofErr w:type="spellStart"/>
            <w:r>
              <w:rPr>
                <w:b/>
                <w:bCs/>
                <w:sz w:val="20"/>
              </w:rPr>
              <w:t>Pasiva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14:paraId="56D9E0FA" w14:textId="77777777" w:rsidR="00FF24EA" w:rsidRDefault="00FF24EA" w:rsidP="000F47F8">
            <w:pPr>
              <w:rPr>
                <w:sz w:val="20"/>
              </w:rPr>
            </w:pPr>
            <w:r w:rsidRPr="00FF24EA">
              <w:rPr>
                <w:sz w:val="20"/>
              </w:rPr>
              <w:t xml:space="preserve">75 Linden Street, 104-108 Grove Street, 110-114 Grove Street, 116-120 Grove Street, 93-95 Stockholm Street, 158-164 Harman Street, 169-175 Harman Street, 181-185 Harman Street, Brooklyn, NY </w:t>
            </w:r>
          </w:p>
          <w:p w14:paraId="482A7681" w14:textId="58C69F4B" w:rsidR="00FF24EA" w:rsidRPr="00833A31" w:rsidRDefault="00FF24EA" w:rsidP="000F47F8">
            <w:pPr>
              <w:rPr>
                <w:b/>
                <w:sz w:val="20"/>
              </w:rPr>
            </w:pPr>
            <w:r w:rsidRPr="00FF24EA">
              <w:rPr>
                <w:sz w:val="20"/>
              </w:rPr>
              <w:t>(Kings County)</w:t>
            </w:r>
          </w:p>
        </w:tc>
        <w:tc>
          <w:tcPr>
            <w:tcW w:w="3510" w:type="dxa"/>
          </w:tcPr>
          <w:p w14:paraId="20110B81" w14:textId="68C13059" w:rsidR="00FF24EA" w:rsidRPr="00833A31" w:rsidRDefault="00FF24EA" w:rsidP="000F47F8">
            <w:pPr>
              <w:rPr>
                <w:sz w:val="20"/>
              </w:rPr>
            </w:pPr>
            <w:r w:rsidRPr="00FF24EA">
              <w:rPr>
                <w:sz w:val="20"/>
              </w:rPr>
              <w:t xml:space="preserve">Casa </w:t>
            </w:r>
            <w:proofErr w:type="spellStart"/>
            <w:r w:rsidRPr="00FF24EA">
              <w:rPr>
                <w:sz w:val="20"/>
              </w:rPr>
              <w:t>Pasiva</w:t>
            </w:r>
            <w:proofErr w:type="spellEnd"/>
            <w:r w:rsidRPr="00FF24EA">
              <w:rPr>
                <w:sz w:val="20"/>
              </w:rPr>
              <w:t xml:space="preserve"> LLC, or another single purpose entity controlled by </w:t>
            </w:r>
            <w:proofErr w:type="spellStart"/>
            <w:r w:rsidRPr="00FF24EA">
              <w:rPr>
                <w:sz w:val="20"/>
              </w:rPr>
              <w:t>RiseBoro</w:t>
            </w:r>
            <w:proofErr w:type="spellEnd"/>
            <w:r w:rsidRPr="00FF24EA">
              <w:rPr>
                <w:sz w:val="20"/>
              </w:rPr>
              <w:t xml:space="preserve"> Community Partnership Inc</w:t>
            </w:r>
            <w:r>
              <w:rPr>
                <w:sz w:val="20"/>
              </w:rPr>
              <w:t>.</w:t>
            </w:r>
          </w:p>
        </w:tc>
        <w:tc>
          <w:tcPr>
            <w:tcW w:w="1672" w:type="dxa"/>
          </w:tcPr>
          <w:p w14:paraId="48F32922" w14:textId="5197C123" w:rsidR="00FF24EA" w:rsidRPr="00833A31" w:rsidRDefault="00FF24EA" w:rsidP="000F47F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2198" w:type="dxa"/>
          </w:tcPr>
          <w:p w14:paraId="337DCBF4" w14:textId="5D5BAF85" w:rsidR="00FF24EA" w:rsidRPr="00833A31" w:rsidRDefault="00FF24EA" w:rsidP="000F4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$30,000,000</w:t>
            </w:r>
          </w:p>
        </w:tc>
      </w:tr>
      <w:tr w:rsidR="00FF24EA" w:rsidRPr="00833A31" w14:paraId="4CF4D3E1" w14:textId="77777777" w:rsidTr="000F47F8">
        <w:tc>
          <w:tcPr>
            <w:tcW w:w="2875" w:type="dxa"/>
          </w:tcPr>
          <w:p w14:paraId="17DD151D" w14:textId="77777777" w:rsidR="00FF24EA" w:rsidRDefault="00FF24EA" w:rsidP="00FF24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210 Livingston Street Apartments aka Hoyt &amp; Horn</w:t>
            </w:r>
          </w:p>
          <w:p w14:paraId="352147A7" w14:textId="77777777" w:rsidR="00FF24EA" w:rsidRDefault="00FF24EA" w:rsidP="00FF24EA">
            <w:pPr>
              <w:rPr>
                <w:sz w:val="20"/>
              </w:rPr>
            </w:pPr>
            <w:r>
              <w:rPr>
                <w:sz w:val="20"/>
              </w:rPr>
              <w:t>210 Livingston Street /45 Hoyt Street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Brooklyn, NY </w:t>
            </w:r>
          </w:p>
          <w:p w14:paraId="48DBACE5" w14:textId="2150D5A8" w:rsidR="00FF24EA" w:rsidRDefault="00FF24EA" w:rsidP="00FF24E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(Kings County)</w:t>
            </w:r>
          </w:p>
        </w:tc>
        <w:tc>
          <w:tcPr>
            <w:tcW w:w="3510" w:type="dxa"/>
          </w:tcPr>
          <w:p w14:paraId="2B64075B" w14:textId="77777777" w:rsidR="00FF24EA" w:rsidRDefault="00FF24EA" w:rsidP="00FF24EA">
            <w:pPr>
              <w:rPr>
                <w:sz w:val="20"/>
              </w:rPr>
            </w:pPr>
            <w:r w:rsidRPr="00CB0F27">
              <w:rPr>
                <w:sz w:val="20"/>
              </w:rPr>
              <w:t>210 Livingston St</w:t>
            </w:r>
            <w:r>
              <w:rPr>
                <w:sz w:val="20"/>
              </w:rPr>
              <w:t>. LI LLC</w:t>
            </w:r>
          </w:p>
          <w:p w14:paraId="2E84BAAA" w14:textId="77777777" w:rsidR="00FF24EA" w:rsidRPr="00FF24EA" w:rsidRDefault="00FF24EA" w:rsidP="00FF24EA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34F9CDB2" w14:textId="2A5C518A" w:rsidR="00FF24EA" w:rsidRDefault="00FF24EA" w:rsidP="00FF24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 </w:t>
            </w:r>
            <w:proofErr w:type="gramStart"/>
            <w:r>
              <w:rPr>
                <w:color w:val="000000"/>
                <w:sz w:val="20"/>
              </w:rPr>
              <w:t>74 unit</w:t>
            </w:r>
            <w:proofErr w:type="gramEnd"/>
            <w:r>
              <w:rPr>
                <w:color w:val="000000"/>
                <w:sz w:val="20"/>
              </w:rPr>
              <w:t xml:space="preserve"> project as part of a 368 unit development</w:t>
            </w:r>
          </w:p>
        </w:tc>
        <w:tc>
          <w:tcPr>
            <w:tcW w:w="2198" w:type="dxa"/>
          </w:tcPr>
          <w:p w14:paraId="6E54F982" w14:textId="49EC438B" w:rsidR="00FF24EA" w:rsidRDefault="00FF24EA" w:rsidP="00FF24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$33,700,000 in tax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exempt bonds as part of $178,000,000 loan amount</w:t>
            </w:r>
          </w:p>
        </w:tc>
      </w:tr>
    </w:tbl>
    <w:p w14:paraId="48618206" w14:textId="77777777" w:rsidR="00FF24EA" w:rsidRDefault="00FF24EA" w:rsidP="00E6176C">
      <w:pPr>
        <w:rPr>
          <w:b/>
          <w:u w:val="single"/>
        </w:rPr>
      </w:pPr>
    </w:p>
    <w:p w14:paraId="4ADB8F0E" w14:textId="77777777" w:rsidR="00FF24EA" w:rsidRDefault="00FF24EA" w:rsidP="00E6176C">
      <w:pPr>
        <w:rPr>
          <w:b/>
          <w:u w:val="single"/>
        </w:rPr>
      </w:pPr>
    </w:p>
    <w:p w14:paraId="689938D0" w14:textId="5FC605DB" w:rsidR="00E6176C" w:rsidRPr="00833A31" w:rsidRDefault="007E645B" w:rsidP="00E6176C">
      <w:pPr>
        <w:rPr>
          <w:b/>
        </w:rPr>
      </w:pPr>
      <w:r w:rsidRPr="00833A31">
        <w:rPr>
          <w:b/>
          <w:u w:val="single"/>
        </w:rPr>
        <w:t>Hearing Location</w:t>
      </w:r>
      <w:r w:rsidRPr="00833A31">
        <w:t>:</w:t>
      </w:r>
      <w:r w:rsidRPr="00833A31">
        <w:tab/>
      </w:r>
      <w:r w:rsidRPr="00833A31">
        <w:tab/>
      </w:r>
      <w:r w:rsidR="00F8507D">
        <w:rPr>
          <w:b/>
        </w:rPr>
        <w:t>Department of Housing and Community Renewal, Hampton Plaza</w:t>
      </w:r>
      <w:r w:rsidR="00E6176C" w:rsidRPr="00833A31">
        <w:rPr>
          <w:b/>
        </w:rPr>
        <w:t xml:space="preserve"> </w:t>
      </w:r>
    </w:p>
    <w:p w14:paraId="59257993" w14:textId="154BFDBE" w:rsidR="007E645B" w:rsidRPr="00833A31" w:rsidRDefault="00F8507D" w:rsidP="00E6176C">
      <w:pPr>
        <w:ind w:left="2880"/>
        <w:rPr>
          <w:b/>
        </w:rPr>
      </w:pPr>
      <w:r w:rsidRPr="00F8507D">
        <w:rPr>
          <w:b/>
        </w:rPr>
        <w:t>38-40 State Street, Ballroom, Albany, N.Y. 12207</w:t>
      </w:r>
    </w:p>
    <w:p w14:paraId="0DB5D977" w14:textId="05D41FBF" w:rsidR="007E645B" w:rsidRPr="00833A31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FF24EA" w:rsidRPr="00833A31">
        <w:rPr>
          <w:b/>
        </w:rPr>
        <w:t xml:space="preserve">Tuesday, </w:t>
      </w:r>
      <w:r w:rsidR="00FF24EA">
        <w:rPr>
          <w:b/>
        </w:rPr>
        <w:t>May 7</w:t>
      </w:r>
      <w:r w:rsidR="00FF24EA" w:rsidRPr="00833A31">
        <w:rPr>
          <w:b/>
        </w:rPr>
        <w:t>,</w:t>
      </w:r>
      <w:r w:rsidR="00FF24EA">
        <w:rPr>
          <w:b/>
        </w:rPr>
        <w:t xml:space="preserve"> </w:t>
      </w:r>
      <w:r w:rsidR="00141541" w:rsidRPr="00833A31">
        <w:rPr>
          <w:b/>
        </w:rPr>
        <w:t>2019</w:t>
      </w:r>
      <w:r w:rsidR="00BA25BF" w:rsidRPr="00833A31">
        <w:rPr>
          <w:b/>
        </w:rPr>
        <w:t xml:space="preserve">, </w:t>
      </w:r>
      <w:r w:rsidR="00066869" w:rsidRPr="00833A31">
        <w:rPr>
          <w:b/>
        </w:rPr>
        <w:t>5:</w:t>
      </w:r>
      <w:r w:rsidR="00562EB6" w:rsidRPr="00833A31">
        <w:rPr>
          <w:b/>
        </w:rPr>
        <w:t>3</w:t>
      </w:r>
      <w:r w:rsidRPr="00833A31">
        <w:rPr>
          <w:b/>
        </w:rPr>
        <w:t>0 p.m.</w:t>
      </w:r>
    </w:p>
    <w:p w14:paraId="146474A3" w14:textId="77777777" w:rsidR="00760478" w:rsidRPr="00833A31" w:rsidRDefault="00760478" w:rsidP="007E645B">
      <w:pPr>
        <w:rPr>
          <w:b/>
        </w:rPr>
      </w:pPr>
    </w:p>
    <w:p w14:paraId="6CDB52DA" w14:textId="77777777" w:rsidR="007E645B" w:rsidRPr="00833A31" w:rsidRDefault="007E645B" w:rsidP="007E645B">
      <w:pPr>
        <w:rPr>
          <w:b/>
          <w:sz w:val="16"/>
          <w:szCs w:val="16"/>
          <w:u w:val="single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510"/>
        <w:gridCol w:w="1672"/>
        <w:gridCol w:w="2198"/>
      </w:tblGrid>
      <w:tr w:rsidR="007E645B" w:rsidRPr="00833A31" w14:paraId="42E63E63" w14:textId="77777777" w:rsidTr="00BB0BC8">
        <w:tc>
          <w:tcPr>
            <w:tcW w:w="2875" w:type="dxa"/>
          </w:tcPr>
          <w:p w14:paraId="35065388" w14:textId="77777777" w:rsidR="007E645B" w:rsidRPr="00833A31" w:rsidRDefault="007E645B" w:rsidP="005C2C0A">
            <w:pPr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Project Name and Location</w:t>
            </w:r>
          </w:p>
        </w:tc>
        <w:tc>
          <w:tcPr>
            <w:tcW w:w="3510" w:type="dxa"/>
          </w:tcPr>
          <w:p w14:paraId="4EBF5642" w14:textId="77777777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Owner</w:t>
            </w:r>
          </w:p>
        </w:tc>
        <w:tc>
          <w:tcPr>
            <w:tcW w:w="1672" w:type="dxa"/>
          </w:tcPr>
          <w:p w14:paraId="1D5CF141" w14:textId="77777777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Approx</w:t>
            </w:r>
            <w:r w:rsidR="00DF3C66" w:rsidRPr="00833A31">
              <w:rPr>
                <w:b/>
                <w:sz w:val="20"/>
              </w:rPr>
              <w:t>.</w:t>
            </w:r>
            <w:r w:rsidRPr="00833A31">
              <w:rPr>
                <w:b/>
                <w:sz w:val="20"/>
              </w:rPr>
              <w:t xml:space="preserve"> # Units</w:t>
            </w:r>
          </w:p>
        </w:tc>
        <w:tc>
          <w:tcPr>
            <w:tcW w:w="2198" w:type="dxa"/>
          </w:tcPr>
          <w:p w14:paraId="11A004D6" w14:textId="77777777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Estimated not-to-exceed amount of tax-exempt Bonds</w:t>
            </w:r>
          </w:p>
        </w:tc>
      </w:tr>
      <w:tr w:rsidR="00141541" w:rsidRPr="00833A31" w14:paraId="68B4759A" w14:textId="77777777" w:rsidTr="00BB0BC8">
        <w:tc>
          <w:tcPr>
            <w:tcW w:w="2875" w:type="dxa"/>
          </w:tcPr>
          <w:p w14:paraId="67C263E7" w14:textId="77777777" w:rsidR="00F8507D" w:rsidRDefault="00F8507D" w:rsidP="00F8507D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Preserve SET</w:t>
            </w:r>
            <w:r>
              <w:rPr>
                <w:color w:val="000000"/>
                <w:sz w:val="20"/>
              </w:rPr>
              <w:t xml:space="preserve"> (formerly known as Southeast Towers)</w:t>
            </w:r>
          </w:p>
          <w:p w14:paraId="7E241664" w14:textId="277F743B" w:rsidR="00141541" w:rsidRPr="00833A31" w:rsidRDefault="00F8507D" w:rsidP="00F8507D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10 Manhattan Square Drive, 463 East Broad Street and 16 </w:t>
            </w:r>
            <w:bookmarkStart w:id="2" w:name="_GoBack"/>
            <w:bookmarkEnd w:id="2"/>
            <w:r>
              <w:rPr>
                <w:color w:val="000000"/>
                <w:sz w:val="20"/>
              </w:rPr>
              <w:lastRenderedPageBreak/>
              <w:t>Savannah Street, Rochester, NY (Monroe County)</w:t>
            </w:r>
          </w:p>
        </w:tc>
        <w:tc>
          <w:tcPr>
            <w:tcW w:w="3510" w:type="dxa"/>
          </w:tcPr>
          <w:p w14:paraId="497BE95F" w14:textId="63EA384F" w:rsidR="00141541" w:rsidRPr="00833A31" w:rsidRDefault="00F8507D" w:rsidP="001415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Preserve SET LLC, or another single purpose entity controlled by Conifer Realty, LLC</w:t>
            </w:r>
          </w:p>
        </w:tc>
        <w:tc>
          <w:tcPr>
            <w:tcW w:w="1672" w:type="dxa"/>
          </w:tcPr>
          <w:p w14:paraId="72F53165" w14:textId="5A30DBB6" w:rsidR="00F8507D" w:rsidRDefault="00FF24EA" w:rsidP="00F85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  <w:p w14:paraId="31B4C2D8" w14:textId="5089D3CA" w:rsidR="00141541" w:rsidRPr="00833A31" w:rsidRDefault="00141541" w:rsidP="00141541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</w:tcPr>
          <w:p w14:paraId="7EA3B06E" w14:textId="0F254545" w:rsidR="00141541" w:rsidRPr="00833A31" w:rsidRDefault="00141541" w:rsidP="00141541">
            <w:pPr>
              <w:jc w:val="center"/>
              <w:rPr>
                <w:sz w:val="20"/>
              </w:rPr>
            </w:pPr>
            <w:r w:rsidRPr="00833A31">
              <w:rPr>
                <w:sz w:val="20"/>
              </w:rPr>
              <w:t>$</w:t>
            </w:r>
            <w:r w:rsidR="00F8507D">
              <w:rPr>
                <w:sz w:val="20"/>
              </w:rPr>
              <w:t>65</w:t>
            </w:r>
            <w:r w:rsidR="00850BF4" w:rsidRPr="00833A31">
              <w:rPr>
                <w:sz w:val="20"/>
              </w:rPr>
              <w:t>,000,000</w:t>
            </w:r>
          </w:p>
        </w:tc>
      </w:tr>
      <w:tr w:rsidR="00FF24EA" w:rsidRPr="00833A31" w14:paraId="6BF92C9E" w14:textId="77777777" w:rsidTr="00BB0BC8">
        <w:tc>
          <w:tcPr>
            <w:tcW w:w="2875" w:type="dxa"/>
          </w:tcPr>
          <w:p w14:paraId="39F54FEC" w14:textId="77777777" w:rsidR="00FF24EA" w:rsidRPr="00FF24EA" w:rsidRDefault="00FF24EA" w:rsidP="00FF24EA">
            <w:pPr>
              <w:rPr>
                <w:b/>
                <w:bCs/>
                <w:color w:val="000000"/>
                <w:sz w:val="20"/>
              </w:rPr>
            </w:pPr>
            <w:r w:rsidRPr="00FF24EA">
              <w:rPr>
                <w:b/>
                <w:bCs/>
                <w:color w:val="000000"/>
                <w:sz w:val="20"/>
              </w:rPr>
              <w:t>Starting Line Apartments</w:t>
            </w:r>
          </w:p>
          <w:p w14:paraId="229B1417" w14:textId="325E80C3" w:rsidR="00FF24EA" w:rsidRDefault="00FF24EA" w:rsidP="00FF24EA">
            <w:pPr>
              <w:rPr>
                <w:bCs/>
                <w:color w:val="000000"/>
                <w:sz w:val="20"/>
              </w:rPr>
            </w:pPr>
            <w:r w:rsidRPr="00FF24EA">
              <w:rPr>
                <w:bCs/>
                <w:color w:val="000000"/>
                <w:sz w:val="20"/>
              </w:rPr>
              <w:t xml:space="preserve">1914 Dwyer Avenue, Utica, NY </w:t>
            </w:r>
          </w:p>
          <w:p w14:paraId="4AAA9052" w14:textId="7F98C3C3" w:rsidR="00FF24EA" w:rsidRDefault="00FF24EA" w:rsidP="00FF24EA">
            <w:pPr>
              <w:rPr>
                <w:b/>
                <w:bCs/>
                <w:color w:val="000000"/>
                <w:sz w:val="20"/>
              </w:rPr>
            </w:pPr>
            <w:r w:rsidRPr="00FF24EA">
              <w:rPr>
                <w:bCs/>
                <w:color w:val="000000"/>
                <w:sz w:val="20"/>
              </w:rPr>
              <w:t>(Oneida County)</w:t>
            </w:r>
          </w:p>
        </w:tc>
        <w:tc>
          <w:tcPr>
            <w:tcW w:w="3510" w:type="dxa"/>
          </w:tcPr>
          <w:p w14:paraId="0C6F7043" w14:textId="4B2F3B40" w:rsidR="00FF24EA" w:rsidRDefault="00FF24EA" w:rsidP="00141541">
            <w:pPr>
              <w:rPr>
                <w:sz w:val="20"/>
              </w:rPr>
            </w:pPr>
            <w:r w:rsidRPr="00FF24EA">
              <w:rPr>
                <w:sz w:val="20"/>
              </w:rPr>
              <w:t>DePaul Utica, L.P. or another single purpose entity controlled by DePaul Properties, Inc.</w:t>
            </w:r>
          </w:p>
        </w:tc>
        <w:tc>
          <w:tcPr>
            <w:tcW w:w="1672" w:type="dxa"/>
          </w:tcPr>
          <w:p w14:paraId="2A325EFB" w14:textId="341FF2D4" w:rsidR="00FF24EA" w:rsidRDefault="00FF24EA" w:rsidP="00F85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98" w:type="dxa"/>
          </w:tcPr>
          <w:p w14:paraId="69729634" w14:textId="21B974BB" w:rsidR="00FF24EA" w:rsidRPr="00833A31" w:rsidRDefault="00FF24EA" w:rsidP="0014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$11,100,000</w:t>
            </w:r>
          </w:p>
        </w:tc>
      </w:tr>
      <w:tr w:rsidR="00FF24EA" w:rsidRPr="00833A31" w14:paraId="43AB6E16" w14:textId="77777777" w:rsidTr="00FF24EA">
        <w:trPr>
          <w:trHeight w:val="521"/>
        </w:trPr>
        <w:tc>
          <w:tcPr>
            <w:tcW w:w="2875" w:type="dxa"/>
          </w:tcPr>
          <w:p w14:paraId="526076E2" w14:textId="77777777" w:rsidR="00FF24EA" w:rsidRDefault="00FF24EA" w:rsidP="00FF24EA">
            <w:pPr>
              <w:rPr>
                <w:b/>
                <w:bCs/>
                <w:color w:val="000000"/>
                <w:sz w:val="20"/>
              </w:rPr>
            </w:pPr>
            <w:r w:rsidRPr="00FF24EA">
              <w:rPr>
                <w:b/>
                <w:bCs/>
                <w:color w:val="000000"/>
                <w:sz w:val="20"/>
              </w:rPr>
              <w:t>Penfield Square Apartments</w:t>
            </w:r>
          </w:p>
          <w:p w14:paraId="5E1A9286" w14:textId="67C25C8A" w:rsidR="00FF24EA" w:rsidRPr="00FF24EA" w:rsidRDefault="00FF24EA" w:rsidP="00FF24EA">
            <w:pPr>
              <w:rPr>
                <w:bCs/>
                <w:color w:val="000000"/>
                <w:sz w:val="20"/>
              </w:rPr>
            </w:pPr>
            <w:r w:rsidRPr="00FF24EA">
              <w:rPr>
                <w:bCs/>
                <w:color w:val="000000"/>
                <w:sz w:val="20"/>
              </w:rPr>
              <w:t>1821 Fairport Nine Mile Point Road, Penfield, New York</w:t>
            </w:r>
            <w:r>
              <w:rPr>
                <w:bCs/>
                <w:color w:val="000000"/>
                <w:sz w:val="20"/>
              </w:rPr>
              <w:t xml:space="preserve"> (Monroe County)</w:t>
            </w:r>
          </w:p>
        </w:tc>
        <w:tc>
          <w:tcPr>
            <w:tcW w:w="3510" w:type="dxa"/>
          </w:tcPr>
          <w:p w14:paraId="3C74160A" w14:textId="605C8D0E" w:rsidR="00FF24EA" w:rsidRPr="00FF24EA" w:rsidRDefault="00FF24EA" w:rsidP="00141541">
            <w:pPr>
              <w:rPr>
                <w:sz w:val="20"/>
              </w:rPr>
            </w:pPr>
            <w:r w:rsidRPr="00FF24EA">
              <w:rPr>
                <w:sz w:val="20"/>
              </w:rPr>
              <w:t>Penfield Square Associates, LLC, a single purpose entity to be controlled by Home Leasing</w:t>
            </w:r>
            <w:r>
              <w:rPr>
                <w:sz w:val="20"/>
              </w:rPr>
              <w:t>, LLC</w:t>
            </w:r>
          </w:p>
        </w:tc>
        <w:tc>
          <w:tcPr>
            <w:tcW w:w="1672" w:type="dxa"/>
          </w:tcPr>
          <w:p w14:paraId="4C7E6509" w14:textId="39908123" w:rsidR="00FF24EA" w:rsidRDefault="00FF24EA" w:rsidP="00F85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198" w:type="dxa"/>
          </w:tcPr>
          <w:p w14:paraId="27F6D739" w14:textId="1E5CF4DD" w:rsidR="00FF24EA" w:rsidRDefault="00FF24EA" w:rsidP="00141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$16,000,000</w:t>
            </w:r>
          </w:p>
        </w:tc>
      </w:tr>
    </w:tbl>
    <w:p w14:paraId="6E1088B5" w14:textId="77777777" w:rsidR="00760478" w:rsidRPr="00833A31" w:rsidRDefault="00760478" w:rsidP="00C0677D">
      <w:pPr>
        <w:spacing w:before="120"/>
        <w:rPr>
          <w:b/>
          <w:u w:val="single"/>
        </w:rPr>
      </w:pPr>
    </w:p>
    <w:p w14:paraId="14E4315D" w14:textId="01172DF7" w:rsidR="007E645B" w:rsidRPr="00833A31" w:rsidRDefault="007E645B" w:rsidP="007E645B">
      <w:pPr>
        <w:spacing w:before="120" w:after="120"/>
        <w:jc w:val="both"/>
      </w:pPr>
      <w:r w:rsidRPr="00833A31">
        <w:t xml:space="preserve">For the convenience of interested persons, descriptive material regarding the </w:t>
      </w:r>
      <w:r w:rsidR="00F8507D">
        <w:t>Project</w:t>
      </w:r>
      <w:r w:rsidRPr="00833A31">
        <w:t xml:space="preserve"> will be available for inspection by appointment during the hours between 9:00 A.M. and 5:00 P.M. at the Agency, located at </w:t>
      </w:r>
      <w:r w:rsidR="003057DD" w:rsidRPr="00833A31">
        <w:t>415 Madison Avenue</w:t>
      </w:r>
      <w:r w:rsidRPr="00833A31">
        <w:t xml:space="preserve">, New York, New York.  Materials relating to the </w:t>
      </w:r>
      <w:r w:rsidR="00F8507D">
        <w:t>Project</w:t>
      </w:r>
      <w:r w:rsidRPr="00833A31">
        <w:t xml:space="preserve"> will also be available for inspection one hour prior to the hearing at the hearing location.</w:t>
      </w:r>
    </w:p>
    <w:p w14:paraId="11466BC5" w14:textId="35CE3044" w:rsidR="007E645B" w:rsidRDefault="007E645B" w:rsidP="007E645B">
      <w:pPr>
        <w:jc w:val="both"/>
      </w:pPr>
      <w:r w:rsidRPr="00833A31">
        <w:t xml:space="preserve">For further information, contact </w:t>
      </w:r>
      <w:r w:rsidR="00562EB6" w:rsidRPr="00833A31">
        <w:t xml:space="preserve">Charni Sochet, Press Secretary, New York State Housing Finance Agency, </w:t>
      </w:r>
      <w:r w:rsidR="003057DD" w:rsidRPr="00833A31">
        <w:t>415 Madison Avenue,</w:t>
      </w:r>
      <w:r w:rsidR="00562EB6" w:rsidRPr="00833A31">
        <w:t xml:space="preserve"> New York, New York 100</w:t>
      </w:r>
      <w:r w:rsidR="002A42DE" w:rsidRPr="00833A31">
        <w:t>17</w:t>
      </w:r>
      <w:r w:rsidR="00562EB6" w:rsidRPr="00833A31">
        <w:t xml:space="preserve"> at (212) 872-0681</w:t>
      </w:r>
      <w:r w:rsidRPr="00833A31">
        <w:t xml:space="preserve">. The Agency will accept written statements regarding the proposed issuance of Bonds for the </w:t>
      </w:r>
      <w:r w:rsidR="00F8507D">
        <w:t>Project</w:t>
      </w:r>
      <w:r w:rsidRPr="00833A31">
        <w:t xml:space="preserve"> at the hearing or at the above address, if received no later </w:t>
      </w:r>
      <w:r w:rsidR="003261BF" w:rsidRPr="00833A31">
        <w:t xml:space="preserve">than </w:t>
      </w:r>
      <w:r w:rsidR="00FF24EA">
        <w:t>Monday</w:t>
      </w:r>
      <w:r w:rsidR="000931CD" w:rsidRPr="00833A31">
        <w:t xml:space="preserve">, </w:t>
      </w:r>
      <w:r w:rsidR="00FF24EA">
        <w:t>May 6</w:t>
      </w:r>
      <w:r w:rsidR="008B1E5D" w:rsidRPr="00833A31">
        <w:t>, 201</w:t>
      </w:r>
      <w:r w:rsidR="008977A0" w:rsidRPr="00833A31">
        <w:t>9</w:t>
      </w:r>
      <w:r w:rsidRPr="00833A31">
        <w:t>.</w:t>
      </w:r>
    </w:p>
    <w:sectPr w:rsidR="007E645B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2AAD"/>
    <w:rsid w:val="00086BB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E0975"/>
    <w:rsid w:val="000E0B67"/>
    <w:rsid w:val="000E6DE1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2A6A"/>
    <w:rsid w:val="00193548"/>
    <w:rsid w:val="00194BB2"/>
    <w:rsid w:val="001A71B8"/>
    <w:rsid w:val="001A77C6"/>
    <w:rsid w:val="001B17DA"/>
    <w:rsid w:val="001B26FE"/>
    <w:rsid w:val="001B3BCA"/>
    <w:rsid w:val="001C1382"/>
    <w:rsid w:val="001D1ABE"/>
    <w:rsid w:val="001E36B5"/>
    <w:rsid w:val="001E3B22"/>
    <w:rsid w:val="001E48F8"/>
    <w:rsid w:val="001F1A2E"/>
    <w:rsid w:val="001F3AEB"/>
    <w:rsid w:val="001F6284"/>
    <w:rsid w:val="001F7739"/>
    <w:rsid w:val="001F7CDD"/>
    <w:rsid w:val="00200793"/>
    <w:rsid w:val="00210D2F"/>
    <w:rsid w:val="00213B00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71C5"/>
    <w:rsid w:val="00302490"/>
    <w:rsid w:val="003057DD"/>
    <w:rsid w:val="00311B0F"/>
    <w:rsid w:val="0031481B"/>
    <w:rsid w:val="0032154A"/>
    <w:rsid w:val="003261BF"/>
    <w:rsid w:val="003321BA"/>
    <w:rsid w:val="00337729"/>
    <w:rsid w:val="003405DF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81C"/>
    <w:rsid w:val="003924DB"/>
    <w:rsid w:val="003945E4"/>
    <w:rsid w:val="003A2416"/>
    <w:rsid w:val="003A4C16"/>
    <w:rsid w:val="003A7088"/>
    <w:rsid w:val="003B06E9"/>
    <w:rsid w:val="003B558E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30441"/>
    <w:rsid w:val="004401BB"/>
    <w:rsid w:val="00443A3E"/>
    <w:rsid w:val="00451033"/>
    <w:rsid w:val="00461BC0"/>
    <w:rsid w:val="00472C69"/>
    <w:rsid w:val="004801B5"/>
    <w:rsid w:val="00482DD5"/>
    <w:rsid w:val="004839A6"/>
    <w:rsid w:val="00483CA7"/>
    <w:rsid w:val="00484631"/>
    <w:rsid w:val="00486AF9"/>
    <w:rsid w:val="0049270E"/>
    <w:rsid w:val="00493348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52D07"/>
    <w:rsid w:val="005547D9"/>
    <w:rsid w:val="00557CE0"/>
    <w:rsid w:val="00562EB6"/>
    <w:rsid w:val="00571D39"/>
    <w:rsid w:val="00576C3B"/>
    <w:rsid w:val="005810A7"/>
    <w:rsid w:val="00581494"/>
    <w:rsid w:val="00581BB9"/>
    <w:rsid w:val="00583377"/>
    <w:rsid w:val="00584FA1"/>
    <w:rsid w:val="005B7339"/>
    <w:rsid w:val="005C6839"/>
    <w:rsid w:val="005C76D3"/>
    <w:rsid w:val="005D7889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5D3F"/>
    <w:rsid w:val="0063769A"/>
    <w:rsid w:val="006424C2"/>
    <w:rsid w:val="006435A6"/>
    <w:rsid w:val="006442E9"/>
    <w:rsid w:val="006466BE"/>
    <w:rsid w:val="0065271E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2E5"/>
    <w:rsid w:val="00704AC0"/>
    <w:rsid w:val="00706231"/>
    <w:rsid w:val="0070772B"/>
    <w:rsid w:val="00710C99"/>
    <w:rsid w:val="00713084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2820"/>
    <w:rsid w:val="007C1D29"/>
    <w:rsid w:val="007C3FD1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3E65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E5D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5D20"/>
    <w:rsid w:val="00917131"/>
    <w:rsid w:val="0092161B"/>
    <w:rsid w:val="00927C1C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66ED"/>
    <w:rsid w:val="009C22E5"/>
    <w:rsid w:val="009C268F"/>
    <w:rsid w:val="009C5C3E"/>
    <w:rsid w:val="009C6773"/>
    <w:rsid w:val="009C6E67"/>
    <w:rsid w:val="009D0E03"/>
    <w:rsid w:val="009D21DA"/>
    <w:rsid w:val="009D3D0C"/>
    <w:rsid w:val="009E03D1"/>
    <w:rsid w:val="009E314E"/>
    <w:rsid w:val="009E43AF"/>
    <w:rsid w:val="009E6014"/>
    <w:rsid w:val="00A006C6"/>
    <w:rsid w:val="00A0475B"/>
    <w:rsid w:val="00A04B9F"/>
    <w:rsid w:val="00A0738E"/>
    <w:rsid w:val="00A12C92"/>
    <w:rsid w:val="00A13859"/>
    <w:rsid w:val="00A363ED"/>
    <w:rsid w:val="00A36F24"/>
    <w:rsid w:val="00A42B31"/>
    <w:rsid w:val="00A50FA2"/>
    <w:rsid w:val="00A52878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7064"/>
    <w:rsid w:val="00B532EA"/>
    <w:rsid w:val="00B66F0E"/>
    <w:rsid w:val="00B72A41"/>
    <w:rsid w:val="00B7426E"/>
    <w:rsid w:val="00B75B38"/>
    <w:rsid w:val="00B77E52"/>
    <w:rsid w:val="00B97586"/>
    <w:rsid w:val="00BA0648"/>
    <w:rsid w:val="00BA25BF"/>
    <w:rsid w:val="00BA4106"/>
    <w:rsid w:val="00BB0BC8"/>
    <w:rsid w:val="00BB332C"/>
    <w:rsid w:val="00BC2914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6E80"/>
    <w:rsid w:val="00C80DE7"/>
    <w:rsid w:val="00C82362"/>
    <w:rsid w:val="00C84346"/>
    <w:rsid w:val="00C850EF"/>
    <w:rsid w:val="00C9511D"/>
    <w:rsid w:val="00CA7924"/>
    <w:rsid w:val="00CB0489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AD2"/>
    <w:rsid w:val="00D41597"/>
    <w:rsid w:val="00D419FD"/>
    <w:rsid w:val="00D507CA"/>
    <w:rsid w:val="00D52918"/>
    <w:rsid w:val="00D6279E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96782"/>
    <w:rsid w:val="00E97B8A"/>
    <w:rsid w:val="00E97EB6"/>
    <w:rsid w:val="00EA2539"/>
    <w:rsid w:val="00EB3E43"/>
    <w:rsid w:val="00EB506F"/>
    <w:rsid w:val="00EC5AB7"/>
    <w:rsid w:val="00EE0250"/>
    <w:rsid w:val="00EE048B"/>
    <w:rsid w:val="00EE4D0B"/>
    <w:rsid w:val="00EE70BA"/>
    <w:rsid w:val="00F00F81"/>
    <w:rsid w:val="00F04C27"/>
    <w:rsid w:val="00F04DF3"/>
    <w:rsid w:val="00F04FBC"/>
    <w:rsid w:val="00F06783"/>
    <w:rsid w:val="00F12B25"/>
    <w:rsid w:val="00F16D73"/>
    <w:rsid w:val="00F26812"/>
    <w:rsid w:val="00F27014"/>
    <w:rsid w:val="00F279CA"/>
    <w:rsid w:val="00F27FF0"/>
    <w:rsid w:val="00F307F0"/>
    <w:rsid w:val="00F3305E"/>
    <w:rsid w:val="00F3646D"/>
    <w:rsid w:val="00F41DF9"/>
    <w:rsid w:val="00F509CA"/>
    <w:rsid w:val="00F51433"/>
    <w:rsid w:val="00F52797"/>
    <w:rsid w:val="00F53686"/>
    <w:rsid w:val="00F537D6"/>
    <w:rsid w:val="00F57F26"/>
    <w:rsid w:val="00F6179B"/>
    <w:rsid w:val="00F630F5"/>
    <w:rsid w:val="00F63FFD"/>
    <w:rsid w:val="00F72930"/>
    <w:rsid w:val="00F83F7B"/>
    <w:rsid w:val="00F8507D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24EA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570B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Kenneth Stallings</cp:lastModifiedBy>
  <cp:revision>2</cp:revision>
  <cp:lastPrinted>2017-09-19T20:24:00Z</cp:lastPrinted>
  <dcterms:created xsi:type="dcterms:W3CDTF">2019-04-29T17:05:00Z</dcterms:created>
  <dcterms:modified xsi:type="dcterms:W3CDTF">2019-04-29T17:05:00Z</dcterms:modified>
</cp:coreProperties>
</file>