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w:t>
      </w:r>
      <w:bookmarkStart w:id="0" w:name="_GoBack"/>
      <w:bookmarkEnd w:id="0"/>
      <w:r w:rsidRPr="00833A31">
        <w:t xml:space="preserve">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5D4D02FB" w14:textId="77B952C1" w:rsidR="009B2834" w:rsidRPr="00833A31" w:rsidRDefault="007E645B" w:rsidP="009B2834">
      <w:pPr>
        <w:rPr>
          <w:b/>
        </w:rPr>
      </w:pPr>
      <w:r w:rsidRPr="00833A31">
        <w:rPr>
          <w:b/>
          <w:u w:val="single"/>
        </w:rPr>
        <w:t>Hearing Location</w:t>
      </w:r>
      <w:r w:rsidRPr="00833A31">
        <w:t>:</w:t>
      </w:r>
      <w:r w:rsidRPr="00833A31">
        <w:tab/>
      </w:r>
      <w:r w:rsidRPr="00833A31">
        <w:tab/>
      </w:r>
      <w:r w:rsidR="00192CEF" w:rsidRPr="00833A31">
        <w:rPr>
          <w:b/>
        </w:rPr>
        <w:t>New York State Housing Finance Agency</w:t>
      </w:r>
      <w:r w:rsidR="009B2834" w:rsidRPr="00833A31">
        <w:rPr>
          <w:b/>
        </w:rPr>
        <w:t xml:space="preserve"> </w:t>
      </w:r>
    </w:p>
    <w:p w14:paraId="0614958E" w14:textId="2C5235A4" w:rsidR="00192CEF" w:rsidRPr="00833A31" w:rsidRDefault="009C2E76" w:rsidP="00192CEF">
      <w:pPr>
        <w:ind w:left="2880"/>
        <w:rPr>
          <w:b/>
        </w:rPr>
      </w:pPr>
      <w:bookmarkStart w:id="1" w:name="_DV_C5"/>
      <w:r>
        <w:rPr>
          <w:b/>
        </w:rPr>
        <w:t xml:space="preserve">641 Lexington </w:t>
      </w:r>
      <w:bookmarkEnd w:id="1"/>
      <w:r>
        <w:rPr>
          <w:b/>
        </w:rPr>
        <w:t>Avenue, Fifth Floor</w:t>
      </w:r>
      <w:bookmarkStart w:id="2" w:name="_DV_C6"/>
      <w:r>
        <w:rPr>
          <w:b/>
        </w:rPr>
        <w:t xml:space="preserve">, New York, N.Y. </w:t>
      </w:r>
      <w:bookmarkEnd w:id="2"/>
      <w:r>
        <w:rPr>
          <w:b/>
        </w:rPr>
        <w:t>10022</w:t>
      </w:r>
    </w:p>
    <w:p w14:paraId="0DB5D977" w14:textId="539B192F" w:rsidR="007E645B" w:rsidRPr="00833A31" w:rsidRDefault="007E645B" w:rsidP="007E645B">
      <w:pPr>
        <w:rPr>
          <w:b/>
        </w:rPr>
      </w:pPr>
      <w:r w:rsidRPr="00833A31">
        <w:rPr>
          <w:b/>
          <w:u w:val="single"/>
        </w:rPr>
        <w:t>Date and Time</w:t>
      </w:r>
      <w:r w:rsidRPr="00833A31">
        <w:t>:</w:t>
      </w:r>
      <w:r w:rsidRPr="00833A31">
        <w:rPr>
          <w:b/>
        </w:rPr>
        <w:tab/>
      </w:r>
      <w:r w:rsidRPr="00833A31">
        <w:rPr>
          <w:b/>
        </w:rPr>
        <w:tab/>
      </w:r>
      <w:r w:rsidR="00480B08">
        <w:rPr>
          <w:b/>
        </w:rPr>
        <w:t>Tuesday</w:t>
      </w:r>
      <w:r w:rsidR="000E0930">
        <w:rPr>
          <w:b/>
        </w:rPr>
        <w:t>, February 1</w:t>
      </w:r>
      <w:r w:rsidR="00480B08">
        <w:rPr>
          <w:b/>
        </w:rPr>
        <w:t>1</w:t>
      </w:r>
      <w:r w:rsidR="00141541" w:rsidRPr="00833A31">
        <w:rPr>
          <w:b/>
        </w:rPr>
        <w:t>, 20</w:t>
      </w:r>
      <w:r w:rsidR="000E0930">
        <w:rPr>
          <w:b/>
        </w:rPr>
        <w:t>20</w:t>
      </w:r>
      <w:r w:rsidR="00BA25BF" w:rsidRPr="00833A31">
        <w:rPr>
          <w:b/>
        </w:rPr>
        <w:t xml:space="preserve">, </w:t>
      </w:r>
      <w:r w:rsidR="00F4300A">
        <w:rPr>
          <w:b/>
        </w:rPr>
        <w:t>10:30 a.m</w:t>
      </w:r>
      <w:r w:rsidRPr="00833A31">
        <w:rPr>
          <w:b/>
        </w:rPr>
        <w:t>.</w:t>
      </w:r>
    </w:p>
    <w:p w14:paraId="146474A3" w14:textId="77777777" w:rsidR="00760478" w:rsidRPr="00833A31" w:rsidRDefault="00760478" w:rsidP="007E645B">
      <w:pPr>
        <w:rPr>
          <w:b/>
        </w:rPr>
      </w:pPr>
    </w:p>
    <w:p w14:paraId="6CDB52DA" w14:textId="77777777" w:rsidR="007E645B" w:rsidRPr="00833A31" w:rsidRDefault="007E645B" w:rsidP="007E645B">
      <w:pPr>
        <w:rPr>
          <w:b/>
          <w:sz w:val="16"/>
          <w:szCs w:val="16"/>
          <w:u w:val="single"/>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3515"/>
        <w:gridCol w:w="1674"/>
        <w:gridCol w:w="2199"/>
      </w:tblGrid>
      <w:tr w:rsidR="007E645B" w:rsidRPr="00833A31" w14:paraId="42E63E63" w14:textId="77777777" w:rsidTr="000E0930">
        <w:tc>
          <w:tcPr>
            <w:tcW w:w="2877" w:type="dxa"/>
          </w:tcPr>
          <w:p w14:paraId="35065388" w14:textId="77777777" w:rsidR="007E645B" w:rsidRPr="00833A31" w:rsidRDefault="007E645B" w:rsidP="005C2C0A">
            <w:pPr>
              <w:rPr>
                <w:b/>
                <w:sz w:val="20"/>
              </w:rPr>
            </w:pPr>
            <w:r w:rsidRPr="00833A31">
              <w:rPr>
                <w:b/>
                <w:sz w:val="20"/>
              </w:rPr>
              <w:t>Project Name and Location</w:t>
            </w:r>
          </w:p>
        </w:tc>
        <w:tc>
          <w:tcPr>
            <w:tcW w:w="3515" w:type="dxa"/>
          </w:tcPr>
          <w:p w14:paraId="4EBF5642" w14:textId="63B14968" w:rsidR="007E645B" w:rsidRPr="00833A31" w:rsidRDefault="007E645B" w:rsidP="005C2C0A">
            <w:pPr>
              <w:jc w:val="center"/>
              <w:rPr>
                <w:b/>
                <w:sz w:val="20"/>
              </w:rPr>
            </w:pPr>
            <w:r w:rsidRPr="00833A31">
              <w:rPr>
                <w:b/>
                <w:sz w:val="20"/>
              </w:rPr>
              <w:t>Owner</w:t>
            </w:r>
            <w:r w:rsidR="00824A33">
              <w:rPr>
                <w:b/>
                <w:sz w:val="20"/>
              </w:rPr>
              <w:t>s</w:t>
            </w:r>
          </w:p>
        </w:tc>
        <w:tc>
          <w:tcPr>
            <w:tcW w:w="1674" w:type="dxa"/>
          </w:tcPr>
          <w:p w14:paraId="1D5CF141" w14:textId="77777777" w:rsidR="007E645B" w:rsidRPr="00833A31" w:rsidRDefault="007E645B" w:rsidP="005C2C0A">
            <w:pPr>
              <w:jc w:val="center"/>
              <w:rPr>
                <w:b/>
                <w:sz w:val="20"/>
              </w:rPr>
            </w:pPr>
            <w:r w:rsidRPr="00833A31">
              <w:rPr>
                <w:b/>
                <w:sz w:val="20"/>
              </w:rPr>
              <w:t>Approx</w:t>
            </w:r>
            <w:r w:rsidR="00DF3C66" w:rsidRPr="00833A31">
              <w:rPr>
                <w:b/>
                <w:sz w:val="20"/>
              </w:rPr>
              <w:t>.</w:t>
            </w:r>
            <w:r w:rsidRPr="00833A31">
              <w:rPr>
                <w:b/>
                <w:sz w:val="20"/>
              </w:rPr>
              <w:t xml:space="preserve"> # Units</w:t>
            </w:r>
          </w:p>
        </w:tc>
        <w:tc>
          <w:tcPr>
            <w:tcW w:w="2199" w:type="dxa"/>
          </w:tcPr>
          <w:p w14:paraId="11A004D6" w14:textId="77777777" w:rsidR="007E645B" w:rsidRPr="00833A31" w:rsidRDefault="007E645B" w:rsidP="005C2C0A">
            <w:pPr>
              <w:jc w:val="center"/>
              <w:rPr>
                <w:b/>
                <w:sz w:val="20"/>
              </w:rPr>
            </w:pPr>
            <w:r w:rsidRPr="00833A31">
              <w:rPr>
                <w:b/>
                <w:sz w:val="20"/>
              </w:rPr>
              <w:t>Estimated not-to-exceed amount of tax-exempt Bonds</w:t>
            </w:r>
          </w:p>
        </w:tc>
      </w:tr>
      <w:tr w:rsidR="000E0930" w:rsidRPr="00833A31" w14:paraId="161DA0C2" w14:textId="77777777" w:rsidTr="000E0930">
        <w:tc>
          <w:tcPr>
            <w:tcW w:w="2877" w:type="dxa"/>
          </w:tcPr>
          <w:p w14:paraId="0CDA988B" w14:textId="77777777" w:rsidR="000E0930" w:rsidRDefault="000E0930" w:rsidP="000E0930">
            <w:pPr>
              <w:rPr>
                <w:b/>
                <w:bCs/>
                <w:sz w:val="20"/>
              </w:rPr>
            </w:pPr>
            <w:r>
              <w:rPr>
                <w:b/>
                <w:bCs/>
                <w:sz w:val="20"/>
              </w:rPr>
              <w:t>MHACY Ross F. Calcagno Homes and Loehr Court</w:t>
            </w:r>
          </w:p>
          <w:p w14:paraId="391ABB1A" w14:textId="77777777" w:rsidR="000E0930" w:rsidRDefault="000E0930" w:rsidP="000E0930">
            <w:pPr>
              <w:rPr>
                <w:sz w:val="20"/>
              </w:rPr>
            </w:pPr>
            <w:r>
              <w:rPr>
                <w:sz w:val="20"/>
              </w:rPr>
              <w:t>10 Brook Street,</w:t>
            </w:r>
          </w:p>
          <w:p w14:paraId="5188AD89" w14:textId="77777777" w:rsidR="000E0930" w:rsidRDefault="000E0930" w:rsidP="000E0930">
            <w:pPr>
              <w:rPr>
                <w:sz w:val="20"/>
              </w:rPr>
            </w:pPr>
            <w:r>
              <w:rPr>
                <w:sz w:val="20"/>
              </w:rPr>
              <w:t>55 School Street,</w:t>
            </w:r>
          </w:p>
          <w:p w14:paraId="0376397D" w14:textId="77777777" w:rsidR="000E0930" w:rsidRDefault="000E0930" w:rsidP="000E0930">
            <w:pPr>
              <w:rPr>
                <w:sz w:val="20"/>
              </w:rPr>
            </w:pPr>
            <w:r>
              <w:rPr>
                <w:sz w:val="20"/>
              </w:rPr>
              <w:t xml:space="preserve">80 School Street (Zip Code: 10701), and </w:t>
            </w:r>
          </w:p>
          <w:p w14:paraId="69882648" w14:textId="77777777" w:rsidR="000E0930" w:rsidRDefault="000E0930" w:rsidP="000E0930">
            <w:pPr>
              <w:rPr>
                <w:sz w:val="20"/>
              </w:rPr>
            </w:pPr>
            <w:r>
              <w:rPr>
                <w:sz w:val="20"/>
              </w:rPr>
              <w:t>10-80 Western Avenue (Zip Code: 10705)</w:t>
            </w:r>
          </w:p>
          <w:p w14:paraId="3115A93C" w14:textId="27318900" w:rsidR="000E0930" w:rsidRPr="00191193" w:rsidRDefault="000E0930" w:rsidP="000E0930">
            <w:pPr>
              <w:rPr>
                <w:b/>
                <w:sz w:val="20"/>
              </w:rPr>
            </w:pPr>
            <w:r>
              <w:rPr>
                <w:sz w:val="20"/>
              </w:rPr>
              <w:t xml:space="preserve">Yonkers, NY (Westchester County) </w:t>
            </w:r>
          </w:p>
        </w:tc>
        <w:tc>
          <w:tcPr>
            <w:tcW w:w="3515" w:type="dxa"/>
          </w:tcPr>
          <w:p w14:paraId="270A3BE3" w14:textId="63824D85" w:rsidR="000E0930" w:rsidRPr="00191193" w:rsidRDefault="000E0930" w:rsidP="000E0930">
            <w:pPr>
              <w:rPr>
                <w:sz w:val="20"/>
              </w:rPr>
            </w:pPr>
            <w:r>
              <w:rPr>
                <w:sz w:val="20"/>
              </w:rPr>
              <w:t>Calcagno Preservation Partners, LLC, or another single purpose entity controlled by the Mulford Corporation. Land ownership will be retained by the Calcagno Housing Development Fund Corporation, or another single purpose entity controlled by the Municipal Housing Authority of the City of Yonkers</w:t>
            </w:r>
          </w:p>
        </w:tc>
        <w:tc>
          <w:tcPr>
            <w:tcW w:w="1674" w:type="dxa"/>
          </w:tcPr>
          <w:p w14:paraId="4EA84C2E" w14:textId="1ED23F2A" w:rsidR="000E0930" w:rsidRPr="00191193" w:rsidRDefault="000E0930" w:rsidP="000E0930">
            <w:pPr>
              <w:jc w:val="center"/>
              <w:rPr>
                <w:sz w:val="20"/>
              </w:rPr>
            </w:pPr>
            <w:r>
              <w:rPr>
                <w:sz w:val="20"/>
              </w:rPr>
              <w:t>338</w:t>
            </w:r>
          </w:p>
        </w:tc>
        <w:tc>
          <w:tcPr>
            <w:tcW w:w="2199" w:type="dxa"/>
          </w:tcPr>
          <w:p w14:paraId="297F5CF3" w14:textId="33A3C991" w:rsidR="000E0930" w:rsidRPr="00191193" w:rsidRDefault="000E0930" w:rsidP="000E0930">
            <w:pPr>
              <w:jc w:val="center"/>
              <w:rPr>
                <w:sz w:val="20"/>
              </w:rPr>
            </w:pPr>
            <w:r>
              <w:rPr>
                <w:sz w:val="20"/>
              </w:rPr>
              <w:t>$125,530,000</w:t>
            </w:r>
          </w:p>
        </w:tc>
      </w:tr>
      <w:tr w:rsidR="000E0930" w:rsidRPr="00833A31" w14:paraId="7DCFFA32" w14:textId="77777777" w:rsidTr="000E0930">
        <w:tc>
          <w:tcPr>
            <w:tcW w:w="2877" w:type="dxa"/>
          </w:tcPr>
          <w:p w14:paraId="65740DAD" w14:textId="6450DF6E" w:rsidR="000E0930" w:rsidRDefault="00480B08" w:rsidP="000E0930">
            <w:pPr>
              <w:rPr>
                <w:b/>
                <w:bCs/>
                <w:sz w:val="20"/>
              </w:rPr>
            </w:pPr>
            <w:r w:rsidRPr="00480B08">
              <w:rPr>
                <w:b/>
                <w:bCs/>
                <w:sz w:val="20"/>
              </w:rPr>
              <w:t>11 Park Drive Apartments</w:t>
            </w:r>
          </w:p>
          <w:p w14:paraId="303D9FE8" w14:textId="77777777" w:rsidR="000E0930" w:rsidRDefault="000E0930" w:rsidP="000E0930">
            <w:pPr>
              <w:rPr>
                <w:rFonts w:ascii="Calibri" w:hAnsi="Calibri" w:cs="Calibri"/>
                <w:sz w:val="20"/>
              </w:rPr>
            </w:pPr>
            <w:r>
              <w:rPr>
                <w:sz w:val="20"/>
              </w:rPr>
              <w:t xml:space="preserve">11 Park Drive, </w:t>
            </w:r>
          </w:p>
          <w:p w14:paraId="472C5D00" w14:textId="77777777" w:rsidR="000E0930" w:rsidRDefault="000E0930" w:rsidP="000E0930">
            <w:pPr>
              <w:rPr>
                <w:sz w:val="20"/>
              </w:rPr>
            </w:pPr>
            <w:r>
              <w:rPr>
                <w:sz w:val="20"/>
              </w:rPr>
              <w:t xml:space="preserve">Wyandanch, NY 11798 </w:t>
            </w:r>
          </w:p>
          <w:p w14:paraId="4ECF22A1" w14:textId="0BF89B0D" w:rsidR="000E0930" w:rsidRPr="00191193" w:rsidRDefault="000E0930" w:rsidP="000E0930">
            <w:pPr>
              <w:rPr>
                <w:b/>
                <w:bCs/>
                <w:sz w:val="20"/>
              </w:rPr>
            </w:pPr>
            <w:r>
              <w:rPr>
                <w:sz w:val="20"/>
              </w:rPr>
              <w:t>(Suffolk County)</w:t>
            </w:r>
          </w:p>
        </w:tc>
        <w:tc>
          <w:tcPr>
            <w:tcW w:w="3515" w:type="dxa"/>
          </w:tcPr>
          <w:p w14:paraId="7B704BDB" w14:textId="31131E0E" w:rsidR="000E0930" w:rsidRPr="00191193" w:rsidRDefault="000E0930" w:rsidP="000E0930">
            <w:pPr>
              <w:rPr>
                <w:b/>
                <w:bCs/>
                <w:sz w:val="20"/>
              </w:rPr>
            </w:pPr>
            <w:r>
              <w:rPr>
                <w:sz w:val="20"/>
              </w:rPr>
              <w:t xml:space="preserve">WR Communities – D LLC or another single purpose entity controlled by Albanese Development Corporation and </w:t>
            </w:r>
            <w:proofErr w:type="spellStart"/>
            <w:r>
              <w:rPr>
                <w:sz w:val="20"/>
              </w:rPr>
              <w:t>Selfhelp</w:t>
            </w:r>
            <w:proofErr w:type="spellEnd"/>
            <w:r>
              <w:rPr>
                <w:sz w:val="20"/>
              </w:rPr>
              <w:t xml:space="preserve"> Realty Group</w:t>
            </w:r>
          </w:p>
        </w:tc>
        <w:tc>
          <w:tcPr>
            <w:tcW w:w="1674" w:type="dxa"/>
          </w:tcPr>
          <w:p w14:paraId="1E1B1ACE" w14:textId="2CDE42DA" w:rsidR="000E0930" w:rsidRPr="00191193" w:rsidRDefault="000E0930" w:rsidP="000E0930">
            <w:pPr>
              <w:jc w:val="center"/>
              <w:rPr>
                <w:sz w:val="20"/>
              </w:rPr>
            </w:pPr>
            <w:r>
              <w:rPr>
                <w:sz w:val="20"/>
              </w:rPr>
              <w:t>94</w:t>
            </w:r>
          </w:p>
        </w:tc>
        <w:tc>
          <w:tcPr>
            <w:tcW w:w="2199" w:type="dxa"/>
          </w:tcPr>
          <w:p w14:paraId="10E00943" w14:textId="48AE8F2E" w:rsidR="000E0930" w:rsidRPr="00191193" w:rsidRDefault="000E0930" w:rsidP="000E0930">
            <w:pPr>
              <w:jc w:val="center"/>
              <w:rPr>
                <w:sz w:val="20"/>
              </w:rPr>
            </w:pPr>
            <w:r>
              <w:rPr>
                <w:sz w:val="20"/>
              </w:rPr>
              <w:t>$29,040,000</w:t>
            </w:r>
          </w:p>
        </w:tc>
      </w:tr>
      <w:tr w:rsidR="000E0930" w:rsidRPr="00833A31" w14:paraId="63145CC6" w14:textId="77777777" w:rsidTr="000E0930">
        <w:tc>
          <w:tcPr>
            <w:tcW w:w="2877" w:type="dxa"/>
          </w:tcPr>
          <w:p w14:paraId="085CD110" w14:textId="77777777" w:rsidR="000E0930" w:rsidRDefault="000E0930" w:rsidP="000E0930">
            <w:pPr>
              <w:rPr>
                <w:b/>
                <w:bCs/>
                <w:sz w:val="20"/>
              </w:rPr>
            </w:pPr>
            <w:r>
              <w:rPr>
                <w:b/>
                <w:bCs/>
                <w:sz w:val="20"/>
              </w:rPr>
              <w:t>Vital Brookdale</w:t>
            </w:r>
          </w:p>
          <w:p w14:paraId="78D290C9" w14:textId="6BCD0516" w:rsidR="000E0930" w:rsidRDefault="000E0930" w:rsidP="000E0930">
            <w:pPr>
              <w:rPr>
                <w:b/>
                <w:sz w:val="20"/>
              </w:rPr>
            </w:pPr>
            <w:r>
              <w:rPr>
                <w:sz w:val="20"/>
              </w:rPr>
              <w:t>523 East 98th Street, 535 East 98th Street, 553 East 98th Street, and 566 Herzl Street, Brooklyn, NY 11212 (Kings County)</w:t>
            </w:r>
          </w:p>
        </w:tc>
        <w:tc>
          <w:tcPr>
            <w:tcW w:w="3515" w:type="dxa"/>
          </w:tcPr>
          <w:p w14:paraId="410958BE" w14:textId="164280E1" w:rsidR="000E0930" w:rsidRDefault="000E0930" w:rsidP="000E0930">
            <w:pPr>
              <w:rPr>
                <w:sz w:val="20"/>
              </w:rPr>
            </w:pPr>
            <w:r>
              <w:rPr>
                <w:sz w:val="20"/>
              </w:rPr>
              <w:t>Vital Brookdale LLC or another single purpose entity controlled by The New York Foundling, Metropolitan Real Estate Development, MDG Design + Construction LLC and Smith &amp; Henzy Advisory Group, Inc.</w:t>
            </w:r>
          </w:p>
        </w:tc>
        <w:tc>
          <w:tcPr>
            <w:tcW w:w="1674" w:type="dxa"/>
          </w:tcPr>
          <w:p w14:paraId="1E9E5641" w14:textId="70FD94FD" w:rsidR="000E0930" w:rsidRDefault="000E0930" w:rsidP="000E0930">
            <w:pPr>
              <w:jc w:val="center"/>
              <w:rPr>
                <w:color w:val="000000"/>
                <w:sz w:val="20"/>
              </w:rPr>
            </w:pPr>
            <w:r>
              <w:rPr>
                <w:sz w:val="20"/>
              </w:rPr>
              <w:t>160</w:t>
            </w:r>
          </w:p>
        </w:tc>
        <w:tc>
          <w:tcPr>
            <w:tcW w:w="2199" w:type="dxa"/>
          </w:tcPr>
          <w:p w14:paraId="3B5FBE4D" w14:textId="605C71BD" w:rsidR="000E0930" w:rsidRDefault="000E0930" w:rsidP="000E0930">
            <w:pPr>
              <w:jc w:val="center"/>
              <w:rPr>
                <w:sz w:val="20"/>
              </w:rPr>
            </w:pPr>
            <w:r>
              <w:rPr>
                <w:sz w:val="20"/>
              </w:rPr>
              <w:t>$50,000,000</w:t>
            </w:r>
          </w:p>
        </w:tc>
      </w:tr>
      <w:tr w:rsidR="000E0930" w:rsidRPr="000E0930" w14:paraId="62B173D4" w14:textId="77777777" w:rsidTr="000E0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8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57EF66" w14:textId="4CB57092" w:rsidR="000E0930" w:rsidRPr="000E0930" w:rsidRDefault="000E0930">
            <w:pPr>
              <w:rPr>
                <w:b/>
                <w:bCs/>
                <w:sz w:val="20"/>
              </w:rPr>
            </w:pPr>
            <w:r w:rsidRPr="000E0930">
              <w:rPr>
                <w:b/>
                <w:bCs/>
                <w:sz w:val="20"/>
              </w:rPr>
              <w:t>CHV 202</w:t>
            </w:r>
            <w:r w:rsidRPr="000E0930">
              <w:rPr>
                <w:b/>
                <w:bCs/>
                <w:sz w:val="20"/>
                <w:vertAlign w:val="superscript"/>
              </w:rPr>
              <w:t>nd</w:t>
            </w:r>
            <w:r w:rsidRPr="000E0930">
              <w:rPr>
                <w:b/>
                <w:bCs/>
                <w:sz w:val="20"/>
              </w:rPr>
              <w:t xml:space="preserve"> and 203</w:t>
            </w:r>
            <w:r w:rsidRPr="000E0930">
              <w:rPr>
                <w:b/>
                <w:bCs/>
                <w:sz w:val="20"/>
                <w:vertAlign w:val="superscript"/>
              </w:rPr>
              <w:t>rd</w:t>
            </w:r>
            <w:r w:rsidRPr="000E0930">
              <w:rPr>
                <w:b/>
                <w:bCs/>
                <w:sz w:val="20"/>
              </w:rPr>
              <w:t xml:space="preserve"> Street</w:t>
            </w:r>
          </w:p>
          <w:p w14:paraId="4ED53EB5" w14:textId="5890E042" w:rsidR="000E0930" w:rsidRPr="000E0930" w:rsidRDefault="000E0930">
            <w:pPr>
              <w:rPr>
                <w:sz w:val="20"/>
              </w:rPr>
            </w:pPr>
            <w:r w:rsidRPr="000E0930">
              <w:rPr>
                <w:sz w:val="20"/>
              </w:rPr>
              <w:t>261 East 202</w:t>
            </w:r>
            <w:r w:rsidRPr="000E0930">
              <w:rPr>
                <w:sz w:val="20"/>
                <w:vertAlign w:val="superscript"/>
              </w:rPr>
              <w:t>nd</w:t>
            </w:r>
            <w:r w:rsidRPr="000E0930">
              <w:rPr>
                <w:sz w:val="20"/>
              </w:rPr>
              <w:t xml:space="preserve"> Street</w:t>
            </w:r>
            <w:r w:rsidR="00001C04">
              <w:rPr>
                <w:sz w:val="20"/>
              </w:rPr>
              <w:t xml:space="preserve"> and </w:t>
            </w:r>
            <w:r w:rsidR="00001C04" w:rsidRPr="000E0930">
              <w:rPr>
                <w:sz w:val="20"/>
              </w:rPr>
              <w:t>270 East 203</w:t>
            </w:r>
            <w:r w:rsidR="00001C04" w:rsidRPr="000E0930">
              <w:rPr>
                <w:sz w:val="20"/>
                <w:vertAlign w:val="superscript"/>
              </w:rPr>
              <w:t>rd</w:t>
            </w:r>
            <w:r w:rsidR="00001C04" w:rsidRPr="000E0930">
              <w:rPr>
                <w:sz w:val="20"/>
              </w:rPr>
              <w:t xml:space="preserve"> Street</w:t>
            </w:r>
            <w:r w:rsidRPr="000E0930">
              <w:rPr>
                <w:sz w:val="20"/>
              </w:rPr>
              <w:t>, Bronx, NY</w:t>
            </w:r>
            <w:r w:rsidR="00001C04">
              <w:rPr>
                <w:sz w:val="20"/>
              </w:rPr>
              <w:t xml:space="preserve"> 10458</w:t>
            </w:r>
            <w:r w:rsidRPr="000E0930">
              <w:rPr>
                <w:sz w:val="20"/>
              </w:rPr>
              <w:t xml:space="preserve"> (Bronx County) </w:t>
            </w:r>
          </w:p>
          <w:p w14:paraId="419CAC54" w14:textId="77777777" w:rsidR="000E0930" w:rsidRPr="000E0930" w:rsidRDefault="000E0930">
            <w:pPr>
              <w:rPr>
                <w:sz w:val="20"/>
              </w:rPr>
            </w:pPr>
          </w:p>
        </w:tc>
        <w:tc>
          <w:tcPr>
            <w:tcW w:w="3515" w:type="dxa"/>
            <w:tcBorders>
              <w:top w:val="nil"/>
              <w:left w:val="nil"/>
              <w:bottom w:val="single" w:sz="8" w:space="0" w:color="auto"/>
              <w:right w:val="single" w:sz="8" w:space="0" w:color="auto"/>
            </w:tcBorders>
            <w:tcMar>
              <w:top w:w="0" w:type="dxa"/>
              <w:left w:w="108" w:type="dxa"/>
              <w:bottom w:w="0" w:type="dxa"/>
              <w:right w:w="108" w:type="dxa"/>
            </w:tcMar>
            <w:hideMark/>
          </w:tcPr>
          <w:p w14:paraId="328BF32D" w14:textId="7D20CEAD" w:rsidR="000E0930" w:rsidRPr="000E0930" w:rsidRDefault="000E0930">
            <w:pPr>
              <w:rPr>
                <w:sz w:val="20"/>
              </w:rPr>
            </w:pPr>
            <w:r w:rsidRPr="000E0930">
              <w:rPr>
                <w:sz w:val="20"/>
              </w:rPr>
              <w:t>CHV Bedford Park L.P. or another entity controlled by CAMBA Housing Venture</w:t>
            </w:r>
            <w:r w:rsidR="00001C04">
              <w:rPr>
                <w:sz w:val="20"/>
              </w:rPr>
              <w:t>s</w:t>
            </w:r>
            <w:r w:rsidRPr="000E0930">
              <w:rPr>
                <w:sz w:val="20"/>
              </w:rPr>
              <w:t xml:space="preserve">, Inc. </w:t>
            </w:r>
          </w:p>
        </w:tc>
        <w:tc>
          <w:tcPr>
            <w:tcW w:w="1674" w:type="dxa"/>
            <w:tcBorders>
              <w:top w:val="nil"/>
              <w:left w:val="nil"/>
              <w:bottom w:val="single" w:sz="8" w:space="0" w:color="auto"/>
              <w:right w:val="single" w:sz="8" w:space="0" w:color="auto"/>
            </w:tcBorders>
            <w:tcMar>
              <w:top w:w="0" w:type="dxa"/>
              <w:left w:w="108" w:type="dxa"/>
              <w:bottom w:w="0" w:type="dxa"/>
              <w:right w:w="108" w:type="dxa"/>
            </w:tcMar>
            <w:hideMark/>
          </w:tcPr>
          <w:p w14:paraId="3DFCC4F6" w14:textId="77777777" w:rsidR="000E0930" w:rsidRPr="000E0930" w:rsidRDefault="000E0930">
            <w:pPr>
              <w:jc w:val="center"/>
              <w:rPr>
                <w:rFonts w:ascii="Calibri" w:hAnsi="Calibri" w:cs="Calibri"/>
                <w:sz w:val="20"/>
              </w:rPr>
            </w:pPr>
            <w:r w:rsidRPr="000E0930">
              <w:rPr>
                <w:sz w:val="20"/>
              </w:rPr>
              <w:t>323</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14:paraId="251CF360" w14:textId="77777777" w:rsidR="000E0930" w:rsidRPr="000E0930" w:rsidRDefault="000E0930">
            <w:pPr>
              <w:jc w:val="center"/>
              <w:rPr>
                <w:sz w:val="20"/>
              </w:rPr>
            </w:pPr>
            <w:r w:rsidRPr="000E0930">
              <w:rPr>
                <w:sz w:val="20"/>
              </w:rPr>
              <w:t>$99,800,000</w:t>
            </w:r>
          </w:p>
        </w:tc>
      </w:tr>
    </w:tbl>
    <w:p w14:paraId="5C05443B" w14:textId="48F82D53" w:rsidR="00E869AD" w:rsidRDefault="00E869AD" w:rsidP="00E869AD">
      <w:pPr>
        <w:spacing w:before="120"/>
        <w:rPr>
          <w:b/>
          <w:sz w:val="20"/>
          <w:u w:val="single"/>
        </w:rPr>
      </w:pPr>
    </w:p>
    <w:p w14:paraId="73EFB1D3" w14:textId="77777777" w:rsidR="00001C04" w:rsidRPr="009C2E76" w:rsidRDefault="00001C04" w:rsidP="00E869AD">
      <w:pPr>
        <w:spacing w:before="120"/>
        <w:rPr>
          <w:b/>
          <w:sz w:val="20"/>
          <w:u w:val="single"/>
        </w:rPr>
      </w:pPr>
    </w:p>
    <w:p w14:paraId="605281EA" w14:textId="56B43FED" w:rsidR="00E869AD" w:rsidRPr="009F7E8A" w:rsidRDefault="00E869AD" w:rsidP="00E869AD">
      <w:pPr>
        <w:spacing w:before="120"/>
        <w:rPr>
          <w:b/>
        </w:rPr>
      </w:pPr>
      <w:r w:rsidRPr="009F7E8A">
        <w:rPr>
          <w:b/>
          <w:u w:val="single"/>
        </w:rPr>
        <w:lastRenderedPageBreak/>
        <w:t>Hearing Location</w:t>
      </w:r>
      <w:r w:rsidRPr="00F81583">
        <w:t>:</w:t>
      </w:r>
      <w:r w:rsidRPr="00F81583">
        <w:tab/>
      </w:r>
      <w:r w:rsidRPr="00F81583">
        <w:tab/>
      </w:r>
      <w:r>
        <w:rPr>
          <w:b/>
        </w:rPr>
        <w:t>Department of Housing and Community Renewal, Hampton Plaza</w:t>
      </w:r>
    </w:p>
    <w:p w14:paraId="584ECFA3" w14:textId="77777777" w:rsidR="00E869AD" w:rsidRDefault="00E869AD" w:rsidP="00E869AD">
      <w:pPr>
        <w:pStyle w:val="Heading8"/>
      </w:pPr>
      <w:r w:rsidRPr="009F7E8A">
        <w:rPr>
          <w:b w:val="0"/>
        </w:rPr>
        <w:tab/>
      </w:r>
      <w:r w:rsidRPr="009F7E8A">
        <w:rPr>
          <w:b w:val="0"/>
        </w:rPr>
        <w:tab/>
      </w:r>
      <w:r w:rsidRPr="009F7E8A">
        <w:rPr>
          <w:b w:val="0"/>
        </w:rPr>
        <w:tab/>
      </w:r>
      <w:r w:rsidRPr="009F7E8A">
        <w:rPr>
          <w:b w:val="0"/>
        </w:rPr>
        <w:tab/>
      </w:r>
      <w:r>
        <w:t>38-40 State Street, Ballroom, Albany, N.Y. 12207</w:t>
      </w:r>
    </w:p>
    <w:p w14:paraId="6280940D" w14:textId="66F10CCD" w:rsidR="00E869AD" w:rsidRDefault="00E869AD" w:rsidP="00E869AD">
      <w:pPr>
        <w:rPr>
          <w:b/>
        </w:rPr>
      </w:pPr>
      <w:r w:rsidRPr="009F7E8A">
        <w:rPr>
          <w:b/>
          <w:u w:val="single"/>
        </w:rPr>
        <w:t>Date and Time</w:t>
      </w:r>
      <w:r w:rsidRPr="0039181C">
        <w:t>:</w:t>
      </w:r>
      <w:r>
        <w:rPr>
          <w:b/>
        </w:rPr>
        <w:tab/>
      </w:r>
      <w:r>
        <w:rPr>
          <w:b/>
        </w:rPr>
        <w:tab/>
      </w:r>
      <w:r w:rsidR="00480B08">
        <w:rPr>
          <w:b/>
        </w:rPr>
        <w:t>Tuesday</w:t>
      </w:r>
      <w:r w:rsidR="00F4300A" w:rsidRPr="00833A31">
        <w:rPr>
          <w:b/>
        </w:rPr>
        <w:t xml:space="preserve">, </w:t>
      </w:r>
      <w:r w:rsidR="000E0930">
        <w:rPr>
          <w:b/>
        </w:rPr>
        <w:t>February 1</w:t>
      </w:r>
      <w:r w:rsidR="00480B08">
        <w:rPr>
          <w:b/>
        </w:rPr>
        <w:t>1</w:t>
      </w:r>
      <w:r>
        <w:rPr>
          <w:b/>
        </w:rPr>
        <w:t>, 20</w:t>
      </w:r>
      <w:r w:rsidR="000E0930">
        <w:rPr>
          <w:b/>
        </w:rPr>
        <w:t>20</w:t>
      </w:r>
      <w:r>
        <w:rPr>
          <w:b/>
        </w:rPr>
        <w:t xml:space="preserve">, </w:t>
      </w:r>
      <w:r w:rsidR="00F4300A">
        <w:rPr>
          <w:b/>
        </w:rPr>
        <w:t>2:00</w:t>
      </w:r>
      <w:r w:rsidRPr="009F7E8A">
        <w:rPr>
          <w:b/>
        </w:rPr>
        <w:t xml:space="preserve"> </w:t>
      </w:r>
      <w:r w:rsidR="00F4300A">
        <w:rPr>
          <w:b/>
        </w:rPr>
        <w:t>p</w:t>
      </w:r>
      <w:r w:rsidRPr="009F7E8A">
        <w:rPr>
          <w:b/>
        </w:rPr>
        <w:t>.m.</w:t>
      </w:r>
    </w:p>
    <w:p w14:paraId="79BCAFE1" w14:textId="77777777" w:rsidR="00E869AD" w:rsidRDefault="00E869AD" w:rsidP="00E869AD">
      <w:pPr>
        <w:rPr>
          <w:b/>
        </w:rPr>
      </w:pPr>
    </w:p>
    <w:p w14:paraId="488BA0F2" w14:textId="77777777" w:rsidR="00E869AD" w:rsidRPr="00833A31" w:rsidRDefault="00E869AD" w:rsidP="00E869AD">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E869AD" w:rsidRPr="00833A31" w14:paraId="536B26F0" w14:textId="77777777" w:rsidTr="00993AD0">
        <w:tc>
          <w:tcPr>
            <w:tcW w:w="2875" w:type="dxa"/>
          </w:tcPr>
          <w:p w14:paraId="2FAA355D" w14:textId="77777777" w:rsidR="00E869AD" w:rsidRPr="00833A31" w:rsidRDefault="00E869AD" w:rsidP="00993AD0">
            <w:pPr>
              <w:rPr>
                <w:b/>
                <w:sz w:val="20"/>
              </w:rPr>
            </w:pPr>
            <w:r w:rsidRPr="00833A31">
              <w:rPr>
                <w:b/>
                <w:sz w:val="20"/>
              </w:rPr>
              <w:t>Project Name and Location</w:t>
            </w:r>
          </w:p>
        </w:tc>
        <w:tc>
          <w:tcPr>
            <w:tcW w:w="3510" w:type="dxa"/>
          </w:tcPr>
          <w:p w14:paraId="2FCDF545" w14:textId="77777777" w:rsidR="00E869AD" w:rsidRPr="00833A31" w:rsidRDefault="00E869AD" w:rsidP="00993AD0">
            <w:pPr>
              <w:jc w:val="center"/>
              <w:rPr>
                <w:b/>
                <w:sz w:val="20"/>
              </w:rPr>
            </w:pPr>
            <w:r w:rsidRPr="00833A31">
              <w:rPr>
                <w:b/>
                <w:sz w:val="20"/>
              </w:rPr>
              <w:t>Owner</w:t>
            </w:r>
            <w:r>
              <w:rPr>
                <w:b/>
                <w:sz w:val="20"/>
              </w:rPr>
              <w:t>s</w:t>
            </w:r>
          </w:p>
        </w:tc>
        <w:tc>
          <w:tcPr>
            <w:tcW w:w="1672" w:type="dxa"/>
          </w:tcPr>
          <w:p w14:paraId="0B4732A9" w14:textId="77777777" w:rsidR="00E869AD" w:rsidRPr="00833A31" w:rsidRDefault="00E869AD" w:rsidP="00993AD0">
            <w:pPr>
              <w:jc w:val="center"/>
              <w:rPr>
                <w:b/>
                <w:sz w:val="20"/>
              </w:rPr>
            </w:pPr>
            <w:r w:rsidRPr="00833A31">
              <w:rPr>
                <w:b/>
                <w:sz w:val="20"/>
              </w:rPr>
              <w:t>Approx. # Units</w:t>
            </w:r>
          </w:p>
        </w:tc>
        <w:tc>
          <w:tcPr>
            <w:tcW w:w="2198" w:type="dxa"/>
          </w:tcPr>
          <w:p w14:paraId="456F21A9" w14:textId="77777777" w:rsidR="00E869AD" w:rsidRPr="00833A31" w:rsidRDefault="00E869AD" w:rsidP="00993AD0">
            <w:pPr>
              <w:jc w:val="center"/>
              <w:rPr>
                <w:b/>
                <w:sz w:val="20"/>
              </w:rPr>
            </w:pPr>
            <w:r w:rsidRPr="00833A31">
              <w:rPr>
                <w:b/>
                <w:sz w:val="20"/>
              </w:rPr>
              <w:t>Estimated not-to-exceed amount of tax-exempt Bonds</w:t>
            </w:r>
          </w:p>
        </w:tc>
      </w:tr>
      <w:tr w:rsidR="000E0930" w:rsidRPr="00833A31" w14:paraId="47BE9793" w14:textId="77777777" w:rsidTr="00993AD0">
        <w:tc>
          <w:tcPr>
            <w:tcW w:w="2875" w:type="dxa"/>
          </w:tcPr>
          <w:p w14:paraId="523B1109" w14:textId="77777777" w:rsidR="000E0930" w:rsidRDefault="000E0930" w:rsidP="000E0930">
            <w:pPr>
              <w:rPr>
                <w:b/>
                <w:bCs/>
                <w:sz w:val="20"/>
              </w:rPr>
            </w:pPr>
            <w:r>
              <w:rPr>
                <w:b/>
                <w:bCs/>
                <w:sz w:val="20"/>
              </w:rPr>
              <w:t>Niagara Square Apartments</w:t>
            </w:r>
          </w:p>
          <w:p w14:paraId="3F096534" w14:textId="77777777" w:rsidR="000E0930" w:rsidRDefault="000E0930" w:rsidP="000E0930">
            <w:pPr>
              <w:rPr>
                <w:sz w:val="20"/>
              </w:rPr>
            </w:pPr>
            <w:r>
              <w:rPr>
                <w:sz w:val="20"/>
              </w:rPr>
              <w:t>270 Niagara Street, City of Buffalo, NY (Erie County)</w:t>
            </w:r>
          </w:p>
          <w:p w14:paraId="48D26D9F" w14:textId="777EB036" w:rsidR="000E0930" w:rsidRPr="009C2E76" w:rsidRDefault="000E0930" w:rsidP="000E0930">
            <w:pPr>
              <w:pStyle w:val="xmsonormal"/>
              <w:rPr>
                <w:rFonts w:ascii="Times New Roman" w:hAnsi="Times New Roman" w:cs="Times New Roman"/>
                <w:b/>
                <w:sz w:val="20"/>
                <w:szCs w:val="20"/>
              </w:rPr>
            </w:pPr>
          </w:p>
        </w:tc>
        <w:tc>
          <w:tcPr>
            <w:tcW w:w="3510" w:type="dxa"/>
          </w:tcPr>
          <w:p w14:paraId="4BC45091" w14:textId="4BBDCF6C" w:rsidR="000E0930" w:rsidRPr="009C2E76" w:rsidRDefault="000E0930" w:rsidP="000E0930">
            <w:pPr>
              <w:rPr>
                <w:sz w:val="20"/>
              </w:rPr>
            </w:pPr>
            <w:r>
              <w:rPr>
                <w:sz w:val="20"/>
              </w:rPr>
              <w:t>Niagara Square Apartments LLC, or another single purpose entity controlled by Neil Brown, Gary Silver, Richard Higgins and an affiliate of the Buffalo Municipal Housing Authority</w:t>
            </w:r>
          </w:p>
        </w:tc>
        <w:tc>
          <w:tcPr>
            <w:tcW w:w="1672" w:type="dxa"/>
          </w:tcPr>
          <w:p w14:paraId="4553A26B" w14:textId="50E03EA6" w:rsidR="000E0930" w:rsidRDefault="000E0930" w:rsidP="000E0930">
            <w:pPr>
              <w:jc w:val="center"/>
              <w:rPr>
                <w:sz w:val="20"/>
              </w:rPr>
            </w:pPr>
            <w:r>
              <w:rPr>
                <w:sz w:val="20"/>
              </w:rPr>
              <w:t>166</w:t>
            </w:r>
          </w:p>
        </w:tc>
        <w:tc>
          <w:tcPr>
            <w:tcW w:w="2198" w:type="dxa"/>
          </w:tcPr>
          <w:p w14:paraId="348AB13F" w14:textId="61E3357B" w:rsidR="000E0930" w:rsidRDefault="000E0930" w:rsidP="000E0930">
            <w:pPr>
              <w:jc w:val="center"/>
              <w:rPr>
                <w:sz w:val="20"/>
              </w:rPr>
            </w:pPr>
            <w:r>
              <w:rPr>
                <w:sz w:val="20"/>
              </w:rPr>
              <w:t>$28,000,000</w:t>
            </w:r>
          </w:p>
        </w:tc>
      </w:tr>
      <w:tr w:rsidR="000E0930" w:rsidRPr="00833A31" w14:paraId="445F13BE" w14:textId="77777777" w:rsidTr="00993AD0">
        <w:tc>
          <w:tcPr>
            <w:tcW w:w="2875" w:type="dxa"/>
          </w:tcPr>
          <w:p w14:paraId="1B928809" w14:textId="77777777" w:rsidR="000E0930" w:rsidRDefault="000E0930" w:rsidP="000E0930">
            <w:pPr>
              <w:rPr>
                <w:b/>
                <w:bCs/>
                <w:sz w:val="20"/>
              </w:rPr>
            </w:pPr>
            <w:r>
              <w:rPr>
                <w:b/>
                <w:bCs/>
                <w:sz w:val="20"/>
              </w:rPr>
              <w:t>Skyview Senior Housing – Irondequoit Mall</w:t>
            </w:r>
          </w:p>
          <w:p w14:paraId="5F797664" w14:textId="77777777" w:rsidR="000E0930" w:rsidRDefault="000E0930" w:rsidP="000E0930">
            <w:pPr>
              <w:rPr>
                <w:sz w:val="20"/>
              </w:rPr>
            </w:pPr>
            <w:r>
              <w:rPr>
                <w:sz w:val="20"/>
              </w:rPr>
              <w:t>200 Medley Center Parkway</w:t>
            </w:r>
          </w:p>
          <w:p w14:paraId="5E48A50C" w14:textId="51BFD236" w:rsidR="000E0930" w:rsidRDefault="000E0930" w:rsidP="000E0930">
            <w:pPr>
              <w:rPr>
                <w:b/>
                <w:bCs/>
                <w:sz w:val="20"/>
              </w:rPr>
            </w:pPr>
            <w:r>
              <w:rPr>
                <w:sz w:val="20"/>
              </w:rPr>
              <w:t>Irondequoit, NY 14622 (Monroe County)</w:t>
            </w:r>
          </w:p>
        </w:tc>
        <w:tc>
          <w:tcPr>
            <w:tcW w:w="3510" w:type="dxa"/>
          </w:tcPr>
          <w:p w14:paraId="23F095C7" w14:textId="46F0536F" w:rsidR="000E0930" w:rsidRDefault="000E0930" w:rsidP="000E0930">
            <w:pPr>
              <w:rPr>
                <w:sz w:val="20"/>
              </w:rPr>
            </w:pPr>
            <w:r>
              <w:rPr>
                <w:sz w:val="20"/>
              </w:rPr>
              <w:t xml:space="preserve">SLM Apartments LLC, or another single purpose entity controlled by </w:t>
            </w:r>
            <w:proofErr w:type="spellStart"/>
            <w:r>
              <w:rPr>
                <w:sz w:val="20"/>
              </w:rPr>
              <w:t>PathStone</w:t>
            </w:r>
            <w:proofErr w:type="spellEnd"/>
            <w:r>
              <w:rPr>
                <w:sz w:val="20"/>
              </w:rPr>
              <w:t xml:space="preserve"> Development Corporation</w:t>
            </w:r>
          </w:p>
        </w:tc>
        <w:tc>
          <w:tcPr>
            <w:tcW w:w="1672" w:type="dxa"/>
          </w:tcPr>
          <w:p w14:paraId="5FAEB3A8" w14:textId="0CBD9FCC" w:rsidR="000E0930" w:rsidRDefault="000E0930" w:rsidP="000E0930">
            <w:pPr>
              <w:jc w:val="center"/>
              <w:rPr>
                <w:sz w:val="20"/>
              </w:rPr>
            </w:pPr>
            <w:r>
              <w:rPr>
                <w:sz w:val="20"/>
              </w:rPr>
              <w:t>157</w:t>
            </w:r>
          </w:p>
        </w:tc>
        <w:tc>
          <w:tcPr>
            <w:tcW w:w="2198" w:type="dxa"/>
          </w:tcPr>
          <w:p w14:paraId="4C2F0EFE" w14:textId="1D352FCD" w:rsidR="000E0930" w:rsidRDefault="000E0930" w:rsidP="000E0930">
            <w:pPr>
              <w:jc w:val="center"/>
              <w:rPr>
                <w:sz w:val="20"/>
              </w:rPr>
            </w:pPr>
            <w:r>
              <w:rPr>
                <w:sz w:val="20"/>
              </w:rPr>
              <w:t>$26,</w:t>
            </w:r>
            <w:r w:rsidR="00B75F12">
              <w:rPr>
                <w:sz w:val="20"/>
              </w:rPr>
              <w:t>76</w:t>
            </w:r>
            <w:r>
              <w:rPr>
                <w:sz w:val="20"/>
              </w:rPr>
              <w:t>0,000</w:t>
            </w:r>
          </w:p>
        </w:tc>
      </w:tr>
      <w:tr w:rsidR="000E0930" w:rsidRPr="00833A31" w14:paraId="24871261" w14:textId="77777777" w:rsidTr="00993AD0">
        <w:tc>
          <w:tcPr>
            <w:tcW w:w="2875" w:type="dxa"/>
          </w:tcPr>
          <w:p w14:paraId="7EE2EFED" w14:textId="77777777" w:rsidR="000E0930" w:rsidRDefault="000E0930" w:rsidP="000E0930">
            <w:pPr>
              <w:rPr>
                <w:b/>
                <w:bCs/>
                <w:sz w:val="20"/>
              </w:rPr>
            </w:pPr>
            <w:r>
              <w:rPr>
                <w:b/>
                <w:bCs/>
                <w:sz w:val="20"/>
              </w:rPr>
              <w:t>East Lake Commons</w:t>
            </w:r>
          </w:p>
          <w:p w14:paraId="50821DEB" w14:textId="4B06A110" w:rsidR="000E0930" w:rsidRDefault="00480B08" w:rsidP="000E0930">
            <w:pPr>
              <w:rPr>
                <w:b/>
                <w:bCs/>
                <w:sz w:val="20"/>
              </w:rPr>
            </w:pPr>
            <w:r>
              <w:rPr>
                <w:sz w:val="20"/>
              </w:rPr>
              <w:t xml:space="preserve">18 </w:t>
            </w:r>
            <w:r w:rsidR="000E0930">
              <w:rPr>
                <w:sz w:val="20"/>
              </w:rPr>
              <w:t>East Cayuga Street, Oswego, NY (Oswego County)</w:t>
            </w:r>
            <w:r w:rsidR="000E0930">
              <w:rPr>
                <w:b/>
                <w:bCs/>
                <w:sz w:val="20"/>
              </w:rPr>
              <w:t xml:space="preserve"> </w:t>
            </w:r>
          </w:p>
        </w:tc>
        <w:tc>
          <w:tcPr>
            <w:tcW w:w="3510" w:type="dxa"/>
          </w:tcPr>
          <w:p w14:paraId="2AC2B33D" w14:textId="2B94CF46" w:rsidR="000E0930" w:rsidRDefault="000E0930" w:rsidP="000E0930">
            <w:pPr>
              <w:rPr>
                <w:sz w:val="20"/>
              </w:rPr>
            </w:pPr>
            <w:r>
              <w:rPr>
                <w:sz w:val="20"/>
              </w:rPr>
              <w:t xml:space="preserve">East Lake Commons LLC, or another single purpose entity controlled by Home Leasing LLC. </w:t>
            </w:r>
          </w:p>
        </w:tc>
        <w:tc>
          <w:tcPr>
            <w:tcW w:w="1672" w:type="dxa"/>
          </w:tcPr>
          <w:p w14:paraId="0A62F019" w14:textId="06E0851A" w:rsidR="000E0930" w:rsidRDefault="000E0930" w:rsidP="000E0930">
            <w:pPr>
              <w:jc w:val="center"/>
              <w:rPr>
                <w:sz w:val="20"/>
              </w:rPr>
            </w:pPr>
            <w:r>
              <w:rPr>
                <w:sz w:val="20"/>
              </w:rPr>
              <w:t>70</w:t>
            </w:r>
          </w:p>
        </w:tc>
        <w:tc>
          <w:tcPr>
            <w:tcW w:w="2198" w:type="dxa"/>
          </w:tcPr>
          <w:p w14:paraId="10A1A6C2" w14:textId="6E5EF3A9" w:rsidR="000E0930" w:rsidRDefault="000E0930" w:rsidP="000E0930">
            <w:pPr>
              <w:jc w:val="center"/>
              <w:rPr>
                <w:sz w:val="20"/>
              </w:rPr>
            </w:pPr>
            <w:r>
              <w:rPr>
                <w:sz w:val="20"/>
              </w:rPr>
              <w:t>$14,340,000</w:t>
            </w:r>
          </w:p>
        </w:tc>
      </w:tr>
    </w:tbl>
    <w:p w14:paraId="6E1088B5" w14:textId="77777777" w:rsidR="00760478" w:rsidRPr="00833A31" w:rsidRDefault="00760478" w:rsidP="00C0677D">
      <w:pPr>
        <w:spacing w:before="120"/>
        <w:rPr>
          <w:b/>
          <w:u w:val="single"/>
        </w:rPr>
      </w:pPr>
    </w:p>
    <w:p w14:paraId="14E4315D" w14:textId="0173731C"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9C2E76">
        <w:t>641 Lexington Avenue</w:t>
      </w:r>
      <w:r w:rsidRPr="00833A31">
        <w:t>, New York, New York.  Materials relating to the Projects will also be available for inspection one hour prior to the hearing at the hearing location.</w:t>
      </w:r>
    </w:p>
    <w:p w14:paraId="11466BC5" w14:textId="0E4FD714" w:rsidR="007E645B" w:rsidRDefault="007E645B" w:rsidP="007E645B">
      <w:pPr>
        <w:jc w:val="both"/>
      </w:pPr>
      <w:r w:rsidRPr="00833A31">
        <w:t xml:space="preserve">For further information, contact </w:t>
      </w:r>
      <w:proofErr w:type="spellStart"/>
      <w:r w:rsidR="00562EB6" w:rsidRPr="00833A31">
        <w:t>Charni</w:t>
      </w:r>
      <w:proofErr w:type="spellEnd"/>
      <w:r w:rsidR="00562EB6" w:rsidRPr="00833A31">
        <w:t xml:space="preserve"> </w:t>
      </w:r>
      <w:proofErr w:type="spellStart"/>
      <w:r w:rsidR="00562EB6" w:rsidRPr="00833A31">
        <w:t>Sochet</w:t>
      </w:r>
      <w:proofErr w:type="spellEnd"/>
      <w:r w:rsidR="00562EB6" w:rsidRPr="00833A31">
        <w:t xml:space="preserve">, Press Secretary, New York State Housing Finance Agency, </w:t>
      </w:r>
      <w:r w:rsidR="009C2E76">
        <w:t xml:space="preserve">641 Lexington </w:t>
      </w:r>
      <w:r w:rsidR="003057DD" w:rsidRPr="00833A31">
        <w:t>Avenue,</w:t>
      </w:r>
      <w:r w:rsidR="00562EB6" w:rsidRPr="00833A31">
        <w:t xml:space="preserve"> New York, New York 100</w:t>
      </w:r>
      <w:r w:rsidR="009C2E76">
        <w:t>22</w:t>
      </w:r>
      <w:r w:rsidR="00562EB6" w:rsidRPr="00833A31">
        <w:t xml:space="preserve"> at (212) 872-0681</w:t>
      </w:r>
      <w:r w:rsidRPr="00833A31">
        <w:t xml:space="preserve">. The Agency will accept written statements regarding the proposed issuance of Bonds for the Projects at the hearing or at the above address, if received no later </w:t>
      </w:r>
      <w:r w:rsidR="003261BF" w:rsidRPr="00833A31">
        <w:t xml:space="preserve">than </w:t>
      </w:r>
      <w:r w:rsidR="00480B08">
        <w:t>Monday</w:t>
      </w:r>
      <w:r w:rsidR="000931CD" w:rsidRPr="00833A31">
        <w:t>,</w:t>
      </w:r>
      <w:r w:rsidR="009C2E76">
        <w:t xml:space="preserve"> </w:t>
      </w:r>
      <w:r w:rsidR="000E0930">
        <w:t xml:space="preserve">February </w:t>
      </w:r>
      <w:r w:rsidR="00480B08">
        <w:t>10</w:t>
      </w:r>
      <w:r w:rsidR="008B1E5D" w:rsidRPr="00833A31">
        <w:t>, 20</w:t>
      </w:r>
      <w:r w:rsidR="000E0930">
        <w:t>20</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1C04"/>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18B2"/>
    <w:rsid w:val="000931CD"/>
    <w:rsid w:val="00097E7C"/>
    <w:rsid w:val="000A1877"/>
    <w:rsid w:val="000A5283"/>
    <w:rsid w:val="000B2940"/>
    <w:rsid w:val="000B731E"/>
    <w:rsid w:val="000C4D42"/>
    <w:rsid w:val="000C6128"/>
    <w:rsid w:val="000C686A"/>
    <w:rsid w:val="000D1890"/>
    <w:rsid w:val="000E093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14DD7"/>
    <w:rsid w:val="00430441"/>
    <w:rsid w:val="004401BB"/>
    <w:rsid w:val="00443A3E"/>
    <w:rsid w:val="00451033"/>
    <w:rsid w:val="00461BC0"/>
    <w:rsid w:val="00472C69"/>
    <w:rsid w:val="004801B5"/>
    <w:rsid w:val="00480B08"/>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4782"/>
    <w:rsid w:val="005E6842"/>
    <w:rsid w:val="005F0661"/>
    <w:rsid w:val="005F33B3"/>
    <w:rsid w:val="005F69C5"/>
    <w:rsid w:val="005F7351"/>
    <w:rsid w:val="00602A92"/>
    <w:rsid w:val="006071C4"/>
    <w:rsid w:val="0060765D"/>
    <w:rsid w:val="00626DE8"/>
    <w:rsid w:val="00634CDF"/>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2249"/>
    <w:rsid w:val="00B47064"/>
    <w:rsid w:val="00B532EA"/>
    <w:rsid w:val="00B66F0E"/>
    <w:rsid w:val="00B72A41"/>
    <w:rsid w:val="00B7426E"/>
    <w:rsid w:val="00B75B38"/>
    <w:rsid w:val="00B75F12"/>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4857"/>
    <w:rsid w:val="00F26812"/>
    <w:rsid w:val="00F27014"/>
    <w:rsid w:val="00F279CA"/>
    <w:rsid w:val="00F27FF0"/>
    <w:rsid w:val="00F307F0"/>
    <w:rsid w:val="00F3305E"/>
    <w:rsid w:val="00F3646D"/>
    <w:rsid w:val="00F41DF9"/>
    <w:rsid w:val="00F4300A"/>
    <w:rsid w:val="00F47CBA"/>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18411653">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0133954">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06517271">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448383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33326647">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680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Stallings, Kenneth (NYSHCR)</cp:lastModifiedBy>
  <cp:revision>5</cp:revision>
  <cp:lastPrinted>2017-09-19T20:24:00Z</cp:lastPrinted>
  <dcterms:created xsi:type="dcterms:W3CDTF">2020-01-30T20:28:00Z</dcterms:created>
  <dcterms:modified xsi:type="dcterms:W3CDTF">2020-01-31T19:46:00Z</dcterms:modified>
</cp:coreProperties>
</file>