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D8F7" w14:textId="1E61B925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06B240A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7F6797CA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44371F03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11AD8F08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4A54F0AF" w14:textId="5026AAD5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rehabilitation of </w:t>
      </w:r>
      <w:r>
        <w:t>the</w:t>
      </w:r>
      <w:r w:rsidRPr="00833A31">
        <w:t xml:space="preserve"> </w:t>
      </w:r>
      <w:r>
        <w:t>Project</w:t>
      </w:r>
      <w:r w:rsidR="00C54930">
        <w:t>s</w:t>
      </w:r>
      <w:r w:rsidRPr="00833A31">
        <w:t xml:space="preserve">, (ii) finance reserve funds and/or costs of issuance related to the Bonds, and/or (iii) refund bonds of the Agency in order to make additional funds available </w:t>
      </w:r>
      <w:r>
        <w:t>for</w:t>
      </w:r>
      <w:r w:rsidRPr="00833A31">
        <w:t xml:space="preserve"> the </w:t>
      </w:r>
      <w:r>
        <w:t>Project</w:t>
      </w:r>
      <w:r w:rsidR="00C54930">
        <w:t>s</w:t>
      </w:r>
      <w:r w:rsidRPr="00833A31">
        <w:t xml:space="preserve">.  The Bonds may be issued in one or more series (one or more series of which may have previously been issued).  </w:t>
      </w:r>
      <w:r w:rsidRPr="00833A31">
        <w:rPr>
          <w:i/>
        </w:rPr>
        <w:t>The Bonds will not constitute a debt or obligation of the State of New York</w:t>
      </w:r>
      <w:r w:rsidR="007E645B" w:rsidRPr="00833A31">
        <w:rPr>
          <w:i/>
        </w:rPr>
        <w:t>.</w:t>
      </w:r>
    </w:p>
    <w:p w14:paraId="37A24E0E" w14:textId="77777777" w:rsidR="0078050F" w:rsidRPr="00833A31" w:rsidRDefault="0078050F" w:rsidP="007E645B">
      <w:pPr>
        <w:rPr>
          <w:b/>
          <w:u w:val="single"/>
        </w:rPr>
      </w:pPr>
    </w:p>
    <w:p w14:paraId="0DB5D977" w14:textId="1D1C44AE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9F038F">
        <w:rPr>
          <w:b/>
        </w:rPr>
        <w:t xml:space="preserve">November </w:t>
      </w:r>
      <w:r w:rsidR="0056187F">
        <w:rPr>
          <w:b/>
        </w:rPr>
        <w:t>19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20</w:t>
      </w:r>
      <w:r w:rsidR="00BA25BF" w:rsidRPr="00833A31">
        <w:rPr>
          <w:b/>
        </w:rPr>
        <w:t xml:space="preserve">, </w:t>
      </w:r>
      <w:r w:rsidR="00F1479C">
        <w:rPr>
          <w:b/>
        </w:rPr>
        <w:t>1</w:t>
      </w:r>
      <w:r w:rsidR="00BC57A9">
        <w:rPr>
          <w:b/>
        </w:rPr>
        <w:t>0</w:t>
      </w:r>
      <w:r w:rsidR="00340DD9" w:rsidRPr="00B51B48">
        <w:rPr>
          <w:b/>
        </w:rPr>
        <w:t>:</w:t>
      </w:r>
      <w:r w:rsidR="00BC57A9">
        <w:rPr>
          <w:b/>
        </w:rPr>
        <w:t>3</w:t>
      </w:r>
      <w:r w:rsidR="00340DD9" w:rsidRPr="00B51B48">
        <w:rPr>
          <w:b/>
        </w:rPr>
        <w:t>0</w:t>
      </w:r>
      <w:r w:rsidR="00F4300A" w:rsidRPr="00B51B48">
        <w:rPr>
          <w:b/>
        </w:rPr>
        <w:t xml:space="preserve"> </w:t>
      </w:r>
      <w:r w:rsidR="00F1479C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28A0A1F9" w14:textId="094A6EC9" w:rsidR="00C54930" w:rsidRDefault="00C54930" w:rsidP="007E645B">
      <w:pPr>
        <w:rPr>
          <w:b/>
        </w:rPr>
      </w:pPr>
    </w:p>
    <w:p w14:paraId="10A91E40" w14:textId="77777777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C7662" w:rsidRPr="0063775E">
        <w:rPr>
          <w:b/>
        </w:rPr>
        <w:t>1-844-633-8697 US Toll Free</w:t>
      </w:r>
    </w:p>
    <w:p w14:paraId="42FA4781" w14:textId="77777777" w:rsidR="009C7662" w:rsidRPr="0063775E" w:rsidRDefault="009C7662" w:rsidP="009C7662">
      <w:pPr>
        <w:ind w:left="2160" w:firstLine="720"/>
        <w:rPr>
          <w:b/>
        </w:rPr>
      </w:pPr>
      <w:r>
        <w:rPr>
          <w:b/>
        </w:rPr>
        <w:t>(</w:t>
      </w:r>
      <w:r w:rsidRPr="0063775E">
        <w:rPr>
          <w:b/>
        </w:rPr>
        <w:t>1-518-549-0500 Local</w:t>
      </w:r>
      <w:r>
        <w:rPr>
          <w:b/>
        </w:rPr>
        <w:t>)</w:t>
      </w:r>
    </w:p>
    <w:p w14:paraId="146474A3" w14:textId="1695F9EE" w:rsidR="0063775E" w:rsidRPr="0063775E" w:rsidRDefault="009C7662" w:rsidP="009C76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 xml:space="preserve">Meeting number (access code): </w:t>
      </w:r>
      <w:r w:rsidRPr="004C000A">
        <w:rPr>
          <w:b/>
          <w:bCs/>
          <w:szCs w:val="24"/>
        </w:rPr>
        <w:t>161 545 2088</w:t>
      </w:r>
    </w:p>
    <w:p w14:paraId="60533047" w14:textId="77777777" w:rsidR="00760478" w:rsidRPr="00833A31" w:rsidRDefault="00760478" w:rsidP="007E645B">
      <w:pPr>
        <w:rPr>
          <w:b/>
        </w:rPr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3666"/>
        <w:gridCol w:w="3529"/>
        <w:gridCol w:w="1088"/>
        <w:gridCol w:w="1517"/>
      </w:tblGrid>
      <w:tr w:rsidR="004A3F00" w:rsidRPr="009C1CF5" w14:paraId="5AD68B4D" w14:textId="77777777" w:rsidTr="0056187F">
        <w:tc>
          <w:tcPr>
            <w:tcW w:w="3666" w:type="dxa"/>
            <w:hideMark/>
          </w:tcPr>
          <w:p w14:paraId="5465EECD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529" w:type="dxa"/>
            <w:hideMark/>
          </w:tcPr>
          <w:p w14:paraId="65871C51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88" w:type="dxa"/>
            <w:hideMark/>
          </w:tcPr>
          <w:p w14:paraId="0B56343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1517" w:type="dxa"/>
            <w:hideMark/>
          </w:tcPr>
          <w:p w14:paraId="051D947F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9F038F" w:rsidRPr="009C1CF5" w14:paraId="2D3DE0C5" w14:textId="77777777" w:rsidTr="0056187F">
        <w:tc>
          <w:tcPr>
            <w:tcW w:w="3666" w:type="dxa"/>
            <w:hideMark/>
          </w:tcPr>
          <w:p w14:paraId="37A8A23D" w14:textId="77777777" w:rsidR="009F038F" w:rsidRPr="009F038F" w:rsidRDefault="009F038F" w:rsidP="009F038F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Calvary Baptist Church Senior Housing </w:t>
            </w:r>
          </w:p>
          <w:p w14:paraId="5B64C20B" w14:textId="77777777" w:rsidR="009F038F" w:rsidRPr="009F038F" w:rsidRDefault="009F038F" w:rsidP="009F038F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8F">
              <w:rPr>
                <w:rStyle w:val="xnormaltextrun"/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160-60 Claude Avenue, </w:t>
            </w:r>
          </w:p>
          <w:p w14:paraId="43750F90" w14:textId="77777777" w:rsidR="009F038F" w:rsidRPr="009F038F" w:rsidRDefault="009F038F" w:rsidP="009F038F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8F">
              <w:rPr>
                <w:rStyle w:val="xnormaltextrun"/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Jamaica, NY 11433</w:t>
            </w:r>
          </w:p>
          <w:p w14:paraId="7E812F15" w14:textId="7576B12C" w:rsidR="009F038F" w:rsidRPr="009F038F" w:rsidRDefault="009F038F" w:rsidP="009F038F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8F">
              <w:rPr>
                <w:rStyle w:val="xnormaltextrun"/>
                <w:rFonts w:ascii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Queens County</w:t>
            </w:r>
            <w:r w:rsidRPr="009F03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9" w:type="dxa"/>
            <w:hideMark/>
          </w:tcPr>
          <w:p w14:paraId="3CF84160" w14:textId="7B503949" w:rsidR="009F038F" w:rsidRPr="009F038F" w:rsidRDefault="009F038F" w:rsidP="009F038F">
            <w:pPr>
              <w:rPr>
                <w:sz w:val="20"/>
              </w:rPr>
            </w:pPr>
            <w:r w:rsidRPr="009F038F">
              <w:rPr>
                <w:sz w:val="20"/>
              </w:rPr>
              <w:t>CB Calvary 2020 L.P. or another single-purpose entity controlled by CB-Emmanuel Realty, LLC and Calvary Baptist Church</w:t>
            </w:r>
          </w:p>
        </w:tc>
        <w:tc>
          <w:tcPr>
            <w:tcW w:w="1088" w:type="dxa"/>
            <w:hideMark/>
          </w:tcPr>
          <w:p w14:paraId="1AF0C663" w14:textId="12394B38" w:rsidR="009F038F" w:rsidRPr="009F038F" w:rsidRDefault="009F038F" w:rsidP="009F038F">
            <w:pPr>
              <w:jc w:val="center"/>
              <w:rPr>
                <w:sz w:val="20"/>
              </w:rPr>
            </w:pPr>
            <w:r w:rsidRPr="009F038F">
              <w:rPr>
                <w:sz w:val="20"/>
              </w:rPr>
              <w:t>100</w:t>
            </w:r>
          </w:p>
        </w:tc>
        <w:tc>
          <w:tcPr>
            <w:tcW w:w="1517" w:type="dxa"/>
            <w:hideMark/>
          </w:tcPr>
          <w:p w14:paraId="21F77485" w14:textId="22B7722E" w:rsidR="009F038F" w:rsidRPr="009F038F" w:rsidRDefault="009F038F" w:rsidP="009F038F">
            <w:pPr>
              <w:jc w:val="center"/>
              <w:rPr>
                <w:sz w:val="20"/>
              </w:rPr>
            </w:pPr>
            <w:r w:rsidRPr="009F038F">
              <w:rPr>
                <w:sz w:val="20"/>
              </w:rPr>
              <w:t>19,400,000</w:t>
            </w:r>
          </w:p>
        </w:tc>
      </w:tr>
      <w:tr w:rsidR="0056187F" w14:paraId="79BB25F4" w14:textId="77777777" w:rsidTr="0056187F">
        <w:tc>
          <w:tcPr>
            <w:tcW w:w="3666" w:type="dxa"/>
            <w:hideMark/>
          </w:tcPr>
          <w:p w14:paraId="27CE2B1F" w14:textId="77777777" w:rsidR="0056187F" w:rsidRPr="0056187F" w:rsidRDefault="0056187F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Glens Falls HA Redevelopment</w:t>
            </w:r>
          </w:p>
          <w:p w14:paraId="2B591CE7" w14:textId="77777777" w:rsidR="0056187F" w:rsidRPr="0056187F" w:rsidRDefault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23 Jay Street, Glens Falls NY, 12801,</w:t>
            </w:r>
          </w:p>
          <w:p w14:paraId="14B69F30" w14:textId="77777777" w:rsidR="0056187F" w:rsidRPr="0056187F" w:rsidRDefault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 xml:space="preserve">43 Ridge Street, Glens Falls, 12801, </w:t>
            </w:r>
          </w:p>
          <w:p w14:paraId="3D05C30A" w14:textId="77777777" w:rsidR="0056187F" w:rsidRPr="0056187F" w:rsidRDefault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 xml:space="preserve">41 Larose Street, Glens Falls, 12801, </w:t>
            </w:r>
          </w:p>
          <w:p w14:paraId="21181EDE" w14:textId="77777777" w:rsidR="0056187F" w:rsidRPr="0056187F" w:rsidRDefault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 xml:space="preserve">Warren County &amp; </w:t>
            </w:r>
          </w:p>
          <w:p w14:paraId="3564E205" w14:textId="77777777" w:rsidR="0056187F" w:rsidRPr="0056187F" w:rsidRDefault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19 Wall Street, Hudson Falls, 12839, Washington County</w:t>
            </w:r>
          </w:p>
        </w:tc>
        <w:tc>
          <w:tcPr>
            <w:tcW w:w="3529" w:type="dxa"/>
            <w:hideMark/>
          </w:tcPr>
          <w:p w14:paraId="7A3FBC92" w14:textId="77777777" w:rsidR="0056187F" w:rsidRPr="0056187F" w:rsidRDefault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Glens Falls JV Redevelopment Partners, L.P., or another single-purpose entity controlled by Wilder Balter Partners, Inc., Duvernay + Brooks LLC, and the Glens Falls Housing Authority</w:t>
            </w:r>
          </w:p>
        </w:tc>
        <w:tc>
          <w:tcPr>
            <w:tcW w:w="1088" w:type="dxa"/>
            <w:hideMark/>
          </w:tcPr>
          <w:p w14:paraId="7A32164F" w14:textId="77777777" w:rsidR="0056187F" w:rsidRPr="0056187F" w:rsidRDefault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17" w:type="dxa"/>
            <w:hideMark/>
          </w:tcPr>
          <w:p w14:paraId="6E8EDCD7" w14:textId="77777777" w:rsidR="0056187F" w:rsidRPr="0056187F" w:rsidRDefault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$39,090,000</w:t>
            </w:r>
          </w:p>
        </w:tc>
      </w:tr>
      <w:tr w:rsidR="0056187F" w14:paraId="6CA3ADD5" w14:textId="77777777" w:rsidTr="0056187F">
        <w:tc>
          <w:tcPr>
            <w:tcW w:w="3666" w:type="dxa"/>
          </w:tcPr>
          <w:p w14:paraId="4DDE321E" w14:textId="77777777" w:rsidR="0056187F" w:rsidRPr="0056187F" w:rsidRDefault="0056187F" w:rsidP="0056187F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Albany HA Ida North</w:t>
            </w:r>
          </w:p>
          <w:p w14:paraId="60358150" w14:textId="77777777" w:rsidR="0056187F" w:rsidRPr="0056187F" w:rsidRDefault="0056187F" w:rsidP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252 North Pearl Street (aka 250-260 North Pearl Street), Albany, NY 12207 &amp; 60 Lawn Avenue (aka 41 Jennings Drive), Albany, NY 12204</w:t>
            </w:r>
          </w:p>
          <w:p w14:paraId="142E92D6" w14:textId="7FAEC0C9" w:rsidR="0056187F" w:rsidRPr="0056187F" w:rsidRDefault="0056187F" w:rsidP="0056187F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Albany County</w:t>
            </w:r>
          </w:p>
        </w:tc>
        <w:tc>
          <w:tcPr>
            <w:tcW w:w="3529" w:type="dxa"/>
          </w:tcPr>
          <w:p w14:paraId="59C3E339" w14:textId="6E26E058" w:rsidR="0056187F" w:rsidRPr="0056187F" w:rsidRDefault="0056187F" w:rsidP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Ida Yarbrough Phase IV LLC, or another single-purpose entity controlled by the Albany Housing Authority</w:t>
            </w:r>
          </w:p>
        </w:tc>
        <w:tc>
          <w:tcPr>
            <w:tcW w:w="1088" w:type="dxa"/>
          </w:tcPr>
          <w:p w14:paraId="4AF0E67C" w14:textId="64797D96" w:rsidR="0056187F" w:rsidRPr="0056187F" w:rsidRDefault="0056187F" w:rsidP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517" w:type="dxa"/>
          </w:tcPr>
          <w:p w14:paraId="16C708A7" w14:textId="23D3D9CE" w:rsidR="0056187F" w:rsidRPr="0056187F" w:rsidRDefault="0056187F" w:rsidP="0056187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$56,915,000</w:t>
            </w:r>
          </w:p>
        </w:tc>
      </w:tr>
      <w:tr w:rsidR="0056187F" w:rsidRPr="009C1CF5" w14:paraId="180E54A5" w14:textId="77777777" w:rsidTr="0056187F">
        <w:tc>
          <w:tcPr>
            <w:tcW w:w="3666" w:type="dxa"/>
          </w:tcPr>
          <w:p w14:paraId="1B5BA181" w14:textId="77777777" w:rsidR="0056187F" w:rsidRPr="0056187F" w:rsidRDefault="0056187F" w:rsidP="0056187F">
            <w:pPr>
              <w:pStyle w:val="NormalWeb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2856 Webster Avenue</w:t>
            </w:r>
          </w:p>
          <w:p w14:paraId="474A772A" w14:textId="254F99CC" w:rsidR="0056187F" w:rsidRPr="0056187F" w:rsidRDefault="0056187F" w:rsidP="0056187F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87F">
              <w:rPr>
                <w:rFonts w:ascii="Times New Roman" w:hAnsi="Times New Roman" w:cs="Times New Roman"/>
                <w:sz w:val="20"/>
                <w:szCs w:val="20"/>
              </w:rPr>
              <w:t>2845 Webster Avenue, Bronx, NY 10458 (Bronx County)</w:t>
            </w:r>
          </w:p>
        </w:tc>
        <w:tc>
          <w:tcPr>
            <w:tcW w:w="3529" w:type="dxa"/>
          </w:tcPr>
          <w:p w14:paraId="0ECA4E91" w14:textId="79CBE8F8" w:rsidR="0056187F" w:rsidRPr="0056187F" w:rsidRDefault="0056187F" w:rsidP="0056187F">
            <w:pPr>
              <w:rPr>
                <w:sz w:val="20"/>
              </w:rPr>
            </w:pPr>
            <w:r w:rsidRPr="0056187F">
              <w:rPr>
                <w:sz w:val="20"/>
              </w:rPr>
              <w:t>JELB Webster Senior LLC or another single-purpose entity controlled by JELB Senior Development LLC</w:t>
            </w:r>
          </w:p>
        </w:tc>
        <w:tc>
          <w:tcPr>
            <w:tcW w:w="1088" w:type="dxa"/>
          </w:tcPr>
          <w:p w14:paraId="0234CF05" w14:textId="1EB56556" w:rsidR="0056187F" w:rsidRPr="0056187F" w:rsidRDefault="0056187F" w:rsidP="0056187F">
            <w:pPr>
              <w:jc w:val="center"/>
              <w:rPr>
                <w:sz w:val="20"/>
              </w:rPr>
            </w:pPr>
            <w:r w:rsidRPr="0056187F">
              <w:rPr>
                <w:sz w:val="20"/>
              </w:rPr>
              <w:t>188</w:t>
            </w:r>
          </w:p>
        </w:tc>
        <w:tc>
          <w:tcPr>
            <w:tcW w:w="1517" w:type="dxa"/>
          </w:tcPr>
          <w:p w14:paraId="3EF6AB17" w14:textId="2FFD55CE" w:rsidR="0056187F" w:rsidRPr="0056187F" w:rsidRDefault="0056187F" w:rsidP="0056187F">
            <w:pPr>
              <w:jc w:val="center"/>
              <w:rPr>
                <w:sz w:val="20"/>
              </w:rPr>
            </w:pPr>
            <w:r w:rsidRPr="0056187F">
              <w:rPr>
                <w:sz w:val="20"/>
              </w:rPr>
              <w:t>$61,905,000</w:t>
            </w:r>
          </w:p>
        </w:tc>
      </w:tr>
      <w:tr w:rsidR="009F038F" w:rsidRPr="009C1CF5" w14:paraId="633580AC" w14:textId="77777777" w:rsidTr="0056187F">
        <w:trPr>
          <w:trHeight w:val="952"/>
        </w:trPr>
        <w:tc>
          <w:tcPr>
            <w:tcW w:w="3666" w:type="dxa"/>
            <w:hideMark/>
          </w:tcPr>
          <w:p w14:paraId="1BAF3DB0" w14:textId="77777777" w:rsidR="009F038F" w:rsidRPr="009F038F" w:rsidRDefault="009F038F" w:rsidP="009F038F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Parkedge Townhomes</w:t>
            </w:r>
          </w:p>
          <w:p w14:paraId="2CDE3812" w14:textId="77777777" w:rsidR="009F038F" w:rsidRPr="009F038F" w:rsidRDefault="009F038F" w:rsidP="009F038F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441 Deborah Drive, </w:t>
            </w:r>
          </w:p>
          <w:p w14:paraId="6419C7AE" w14:textId="77777777" w:rsidR="009F038F" w:rsidRPr="009F038F" w:rsidRDefault="009F038F" w:rsidP="009F038F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Utica, NY 13502</w:t>
            </w:r>
          </w:p>
          <w:p w14:paraId="12D5A0E7" w14:textId="77403679" w:rsidR="009F038F" w:rsidRPr="009F038F" w:rsidRDefault="009F038F" w:rsidP="009F038F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Oneida County</w:t>
            </w:r>
            <w:r w:rsidRPr="009F03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9" w:type="dxa"/>
            <w:hideMark/>
          </w:tcPr>
          <w:p w14:paraId="288A7990" w14:textId="16FB85A4" w:rsidR="009F038F" w:rsidRPr="009F038F" w:rsidRDefault="009F038F" w:rsidP="009F038F">
            <w:pPr>
              <w:rPr>
                <w:sz w:val="20"/>
              </w:rPr>
            </w:pPr>
            <w:r w:rsidRPr="009F038F">
              <w:rPr>
                <w:sz w:val="20"/>
              </w:rPr>
              <w:t>Liberty Park Edge Apartments LLC or another single-purpose entity controlled by Liberty Affordable Housing, Inc.</w:t>
            </w:r>
          </w:p>
        </w:tc>
        <w:tc>
          <w:tcPr>
            <w:tcW w:w="1088" w:type="dxa"/>
            <w:hideMark/>
          </w:tcPr>
          <w:p w14:paraId="63665344" w14:textId="7A9622D0" w:rsidR="009F038F" w:rsidRPr="009F038F" w:rsidRDefault="009F038F" w:rsidP="009F038F">
            <w:pPr>
              <w:jc w:val="center"/>
              <w:rPr>
                <w:sz w:val="20"/>
              </w:rPr>
            </w:pPr>
            <w:r w:rsidRPr="009F038F">
              <w:rPr>
                <w:sz w:val="20"/>
              </w:rPr>
              <w:t>184</w:t>
            </w:r>
          </w:p>
        </w:tc>
        <w:tc>
          <w:tcPr>
            <w:tcW w:w="1517" w:type="dxa"/>
            <w:hideMark/>
          </w:tcPr>
          <w:p w14:paraId="67953C41" w14:textId="7A7085F4" w:rsidR="009F038F" w:rsidRPr="009F038F" w:rsidRDefault="009F038F" w:rsidP="009F038F">
            <w:pPr>
              <w:jc w:val="center"/>
              <w:rPr>
                <w:sz w:val="20"/>
              </w:rPr>
            </w:pPr>
            <w:r w:rsidRPr="009F038F">
              <w:rPr>
                <w:sz w:val="20"/>
              </w:rPr>
              <w:t>25,000,000</w:t>
            </w:r>
          </w:p>
        </w:tc>
      </w:tr>
      <w:tr w:rsidR="009F038F" w:rsidRPr="009C1CF5" w14:paraId="0D29FBD3" w14:textId="77777777" w:rsidTr="0056187F">
        <w:tc>
          <w:tcPr>
            <w:tcW w:w="3666" w:type="dxa"/>
          </w:tcPr>
          <w:p w14:paraId="46DE6FCD" w14:textId="77777777" w:rsidR="009F038F" w:rsidRPr="009F038F" w:rsidRDefault="009F038F" w:rsidP="009F038F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Irondequoit Senior Housing </w:t>
            </w:r>
          </w:p>
          <w:p w14:paraId="6AC8FBF1" w14:textId="5E73F186" w:rsidR="009F038F" w:rsidRPr="009F038F" w:rsidRDefault="009F038F" w:rsidP="009F038F">
            <w:pPr>
              <w:rPr>
                <w:b/>
                <w:bCs/>
                <w:sz w:val="20"/>
              </w:rPr>
            </w:pPr>
            <w:r w:rsidRPr="009F038F">
              <w:rPr>
                <w:sz w:val="20"/>
              </w:rPr>
              <w:lastRenderedPageBreak/>
              <w:t>2590 Culver Rd, Rochester, NY 14609 Monroe County</w:t>
            </w:r>
          </w:p>
        </w:tc>
        <w:tc>
          <w:tcPr>
            <w:tcW w:w="3529" w:type="dxa"/>
          </w:tcPr>
          <w:p w14:paraId="6CA514DD" w14:textId="77777777" w:rsidR="009F038F" w:rsidRPr="009F038F" w:rsidRDefault="009F038F" w:rsidP="009F038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F0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Irondequoit Senior Living LLC </w:t>
            </w:r>
          </w:p>
          <w:p w14:paraId="3B76464F" w14:textId="141E4737" w:rsidR="009F038F" w:rsidRPr="009F038F" w:rsidRDefault="009F038F" w:rsidP="009F038F">
            <w:pPr>
              <w:rPr>
                <w:sz w:val="20"/>
              </w:rPr>
            </w:pPr>
            <w:r w:rsidRPr="009F038F">
              <w:rPr>
                <w:sz w:val="20"/>
              </w:rPr>
              <w:lastRenderedPageBreak/>
              <w:t>Or another single-purpose entity controlled by Rochester Management Inc.</w:t>
            </w:r>
          </w:p>
        </w:tc>
        <w:tc>
          <w:tcPr>
            <w:tcW w:w="1088" w:type="dxa"/>
          </w:tcPr>
          <w:p w14:paraId="437424FB" w14:textId="308D79B0" w:rsidR="009F038F" w:rsidRPr="009F038F" w:rsidRDefault="009F038F" w:rsidP="009F038F">
            <w:pPr>
              <w:jc w:val="center"/>
              <w:rPr>
                <w:sz w:val="20"/>
              </w:rPr>
            </w:pPr>
            <w:r w:rsidRPr="009F038F">
              <w:rPr>
                <w:sz w:val="20"/>
              </w:rPr>
              <w:lastRenderedPageBreak/>
              <w:t>80</w:t>
            </w:r>
          </w:p>
        </w:tc>
        <w:tc>
          <w:tcPr>
            <w:tcW w:w="1517" w:type="dxa"/>
          </w:tcPr>
          <w:p w14:paraId="59BB9AAE" w14:textId="237D17A4" w:rsidR="009F038F" w:rsidRPr="009F038F" w:rsidRDefault="009F038F" w:rsidP="009F038F">
            <w:pPr>
              <w:jc w:val="center"/>
              <w:rPr>
                <w:sz w:val="20"/>
              </w:rPr>
            </w:pPr>
            <w:r w:rsidRPr="009F038F">
              <w:rPr>
                <w:sz w:val="20"/>
              </w:rPr>
              <w:t>$11,385,000</w:t>
            </w:r>
          </w:p>
        </w:tc>
      </w:tr>
      <w:tr w:rsidR="009F038F" w14:paraId="5940B98B" w14:textId="77777777" w:rsidTr="0056187F">
        <w:tc>
          <w:tcPr>
            <w:tcW w:w="3666" w:type="dxa"/>
          </w:tcPr>
          <w:p w14:paraId="1100A428" w14:textId="77777777" w:rsidR="009F038F" w:rsidRPr="009F038F" w:rsidRDefault="009F038F" w:rsidP="009F038F">
            <w:pPr>
              <w:pStyle w:val="xmsonorma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Williamsbridge Gardens</w:t>
            </w:r>
          </w:p>
          <w:p w14:paraId="0946A088" w14:textId="60A64123" w:rsidR="009F038F" w:rsidRPr="009F038F" w:rsidRDefault="009F038F" w:rsidP="009F038F">
            <w:pPr>
              <w:rPr>
                <w:b/>
                <w:bCs/>
                <w:sz w:val="20"/>
              </w:rPr>
            </w:pPr>
            <w:r w:rsidRPr="009F038F">
              <w:rPr>
                <w:sz w:val="20"/>
              </w:rPr>
              <w:t>713 East 211th Street &amp; 718 East 212th Street, Bronx, NY 10467</w:t>
            </w:r>
          </w:p>
        </w:tc>
        <w:tc>
          <w:tcPr>
            <w:tcW w:w="3529" w:type="dxa"/>
          </w:tcPr>
          <w:p w14:paraId="3FAE1B8D" w14:textId="77777777" w:rsidR="009F038F" w:rsidRPr="009F038F" w:rsidRDefault="009F038F" w:rsidP="009F038F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F038F">
              <w:rPr>
                <w:rFonts w:ascii="Times New Roman" w:hAnsi="Times New Roman" w:cs="Times New Roman"/>
                <w:sz w:val="20"/>
                <w:szCs w:val="20"/>
              </w:rPr>
              <w:t>211 Residential Associates LLC.</w:t>
            </w:r>
          </w:p>
          <w:p w14:paraId="7589310F" w14:textId="1563CC76" w:rsidR="009F038F" w:rsidRPr="009F038F" w:rsidRDefault="009F038F" w:rsidP="009F038F">
            <w:pPr>
              <w:rPr>
                <w:sz w:val="20"/>
              </w:rPr>
            </w:pPr>
            <w:r w:rsidRPr="009F038F">
              <w:rPr>
                <w:sz w:val="20"/>
              </w:rPr>
              <w:t>Or another single-purpose entity controlled by B&amp;B Urban/ L+M Development LLC/Center for Urban Community Services</w:t>
            </w:r>
          </w:p>
        </w:tc>
        <w:tc>
          <w:tcPr>
            <w:tcW w:w="1088" w:type="dxa"/>
          </w:tcPr>
          <w:p w14:paraId="2B2BFA5F" w14:textId="28193FF0" w:rsidR="009F038F" w:rsidRPr="009F038F" w:rsidRDefault="009F038F" w:rsidP="009F038F">
            <w:pPr>
              <w:jc w:val="center"/>
              <w:rPr>
                <w:sz w:val="20"/>
              </w:rPr>
            </w:pPr>
            <w:r w:rsidRPr="009F038F">
              <w:rPr>
                <w:sz w:val="20"/>
              </w:rPr>
              <w:t>170</w:t>
            </w:r>
          </w:p>
        </w:tc>
        <w:tc>
          <w:tcPr>
            <w:tcW w:w="1517" w:type="dxa"/>
          </w:tcPr>
          <w:p w14:paraId="5130D3F8" w14:textId="5B33A191" w:rsidR="009F038F" w:rsidRPr="009F038F" w:rsidRDefault="009F038F" w:rsidP="009F038F">
            <w:pPr>
              <w:jc w:val="center"/>
              <w:rPr>
                <w:sz w:val="20"/>
              </w:rPr>
            </w:pPr>
            <w:r w:rsidRPr="009F038F">
              <w:rPr>
                <w:sz w:val="20"/>
              </w:rPr>
              <w:t>$58,905,000</w:t>
            </w:r>
          </w:p>
        </w:tc>
      </w:tr>
      <w:tr w:rsidR="009F038F" w14:paraId="7B3060C9" w14:textId="77777777" w:rsidTr="0056187F">
        <w:tc>
          <w:tcPr>
            <w:tcW w:w="3666" w:type="dxa"/>
          </w:tcPr>
          <w:p w14:paraId="2F30A9B3" w14:textId="77777777" w:rsidR="009F038F" w:rsidRDefault="009F038F" w:rsidP="009F038F">
            <w:pPr>
              <w:rPr>
                <w:rStyle w:val="eop"/>
                <w:sz w:val="22"/>
              </w:rPr>
            </w:pPr>
            <w:r>
              <w:rPr>
                <w:rStyle w:val="normaltextrun"/>
                <w:b/>
                <w:bCs/>
                <w:sz w:val="20"/>
              </w:rPr>
              <w:t>Owego Gardens II</w:t>
            </w:r>
            <w:r>
              <w:rPr>
                <w:rStyle w:val="eop"/>
                <w:sz w:val="20"/>
              </w:rPr>
              <w:t> </w:t>
            </w:r>
          </w:p>
          <w:p w14:paraId="78EB0487" w14:textId="77777777" w:rsidR="009F038F" w:rsidRDefault="009F038F" w:rsidP="009F038F">
            <w:r>
              <w:rPr>
                <w:sz w:val="20"/>
              </w:rPr>
              <w:t>140 Belva Lockwood Lane </w:t>
            </w:r>
          </w:p>
          <w:p w14:paraId="6B199A57" w14:textId="77777777" w:rsidR="009F038F" w:rsidRDefault="009F038F" w:rsidP="009F038F">
            <w:pPr>
              <w:rPr>
                <w:sz w:val="20"/>
              </w:rPr>
            </w:pPr>
            <w:r>
              <w:rPr>
                <w:sz w:val="20"/>
              </w:rPr>
              <w:t>Village of Owego, NY</w:t>
            </w:r>
          </w:p>
          <w:p w14:paraId="1DDFF30F" w14:textId="5042D9A4" w:rsidR="009F038F" w:rsidRPr="004A1F82" w:rsidRDefault="009F038F" w:rsidP="009F038F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(Tioga County) </w:t>
            </w:r>
          </w:p>
        </w:tc>
        <w:tc>
          <w:tcPr>
            <w:tcW w:w="3529" w:type="dxa"/>
          </w:tcPr>
          <w:p w14:paraId="337C3E32" w14:textId="2FA440EB" w:rsidR="009F038F" w:rsidRPr="004A1F82" w:rsidRDefault="009F038F" w:rsidP="009F038F">
            <w:pPr>
              <w:rPr>
                <w:sz w:val="20"/>
              </w:rPr>
            </w:pPr>
            <w:r>
              <w:rPr>
                <w:rStyle w:val="normaltextrun"/>
                <w:sz w:val="20"/>
              </w:rPr>
              <w:t>Owego Gardens II Associates LLC, or another single-purpose entity controlled by Home Leasing, LLC. </w:t>
            </w:r>
            <w:r>
              <w:rPr>
                <w:rStyle w:val="eop"/>
                <w:sz w:val="20"/>
              </w:rPr>
              <w:t> </w:t>
            </w:r>
          </w:p>
        </w:tc>
        <w:tc>
          <w:tcPr>
            <w:tcW w:w="1088" w:type="dxa"/>
          </w:tcPr>
          <w:p w14:paraId="406AE366" w14:textId="4B5B5721" w:rsidR="009F038F" w:rsidRPr="004A1F82" w:rsidRDefault="009F038F" w:rsidP="009F038F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93</w:t>
            </w:r>
            <w:r>
              <w:rPr>
                <w:rStyle w:val="eop"/>
                <w:sz w:val="20"/>
              </w:rPr>
              <w:t> </w:t>
            </w:r>
          </w:p>
        </w:tc>
        <w:tc>
          <w:tcPr>
            <w:tcW w:w="1517" w:type="dxa"/>
          </w:tcPr>
          <w:p w14:paraId="5FA294B9" w14:textId="0A2A6C13" w:rsidR="009F038F" w:rsidRPr="004A1F82" w:rsidRDefault="009F038F" w:rsidP="009F038F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$14,490,000</w:t>
            </w:r>
            <w:r>
              <w:rPr>
                <w:rStyle w:val="eop"/>
                <w:sz w:val="20"/>
              </w:rPr>
              <w:t> </w:t>
            </w:r>
          </w:p>
        </w:tc>
      </w:tr>
      <w:tr w:rsidR="009F038F" w14:paraId="22BA80C5" w14:textId="77777777" w:rsidTr="0056187F">
        <w:tc>
          <w:tcPr>
            <w:tcW w:w="3666" w:type="dxa"/>
          </w:tcPr>
          <w:p w14:paraId="32A4BADF" w14:textId="77777777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9F038F">
              <w:rPr>
                <w:rStyle w:val="normaltextrun"/>
                <w:b/>
                <w:bCs/>
                <w:sz w:val="20"/>
                <w:szCs w:val="20"/>
              </w:rPr>
              <w:t>Wellington Woods  </w:t>
            </w:r>
          </w:p>
          <w:p w14:paraId="74A1C9BD" w14:textId="77777777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F038F">
              <w:rPr>
                <w:rStyle w:val="normaltextrun"/>
                <w:sz w:val="20"/>
                <w:szCs w:val="20"/>
              </w:rPr>
              <w:t>70 West Avenue, Clarkson, NY 14420</w:t>
            </w:r>
          </w:p>
          <w:p w14:paraId="7DC53CFF" w14:textId="77777777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F038F">
              <w:rPr>
                <w:rStyle w:val="normaltextrun"/>
                <w:sz w:val="20"/>
                <w:szCs w:val="20"/>
              </w:rPr>
              <w:t>(Monroe County)  </w:t>
            </w:r>
          </w:p>
          <w:p w14:paraId="4879D358" w14:textId="77777777" w:rsidR="009F038F" w:rsidRPr="009F038F" w:rsidRDefault="009F038F" w:rsidP="009F038F">
            <w:pPr>
              <w:rPr>
                <w:rStyle w:val="normaltextrun"/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04ADB42F" w14:textId="12C20970" w:rsidR="009F038F" w:rsidRPr="009F038F" w:rsidRDefault="009F038F" w:rsidP="009F038F">
            <w:pPr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Wellington Clarkson LLC, or another single-purpose entity controlled by Mark J. Ogiony and Neil Hourihan</w:t>
            </w:r>
            <w:r w:rsidRPr="009F038F">
              <w:rPr>
                <w:sz w:val="20"/>
              </w:rPr>
              <w:t> </w:t>
            </w:r>
          </w:p>
        </w:tc>
        <w:tc>
          <w:tcPr>
            <w:tcW w:w="1088" w:type="dxa"/>
          </w:tcPr>
          <w:p w14:paraId="38F0B879" w14:textId="77777777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109</w:t>
            </w:r>
          </w:p>
          <w:p w14:paraId="16E6210E" w14:textId="77777777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517" w:type="dxa"/>
          </w:tcPr>
          <w:p w14:paraId="158ECF7C" w14:textId="05E1C8EF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$10,450,000</w:t>
            </w:r>
          </w:p>
        </w:tc>
      </w:tr>
      <w:tr w:rsidR="009F038F" w14:paraId="3DC10383" w14:textId="77777777" w:rsidTr="0056187F">
        <w:tc>
          <w:tcPr>
            <w:tcW w:w="3666" w:type="dxa"/>
            <w:vAlign w:val="center"/>
          </w:tcPr>
          <w:p w14:paraId="41E63D89" w14:textId="77777777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F038F">
              <w:rPr>
                <w:rStyle w:val="normaltextrun"/>
                <w:b/>
                <w:bCs/>
                <w:sz w:val="20"/>
                <w:szCs w:val="20"/>
              </w:rPr>
              <w:t>Kingsley House</w:t>
            </w:r>
          </w:p>
          <w:p w14:paraId="38D379E6" w14:textId="77777777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F038F">
              <w:rPr>
                <w:rStyle w:val="normaltextrun"/>
                <w:sz w:val="20"/>
                <w:szCs w:val="20"/>
              </w:rPr>
              <w:t xml:space="preserve">41 Barker Avenue, White Plains, NY </w:t>
            </w:r>
          </w:p>
          <w:p w14:paraId="23F8512F" w14:textId="77777777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F038F">
              <w:rPr>
                <w:rStyle w:val="normaltextrun"/>
                <w:sz w:val="20"/>
                <w:szCs w:val="20"/>
              </w:rPr>
              <w:t>10601 (Westchester County)</w:t>
            </w:r>
          </w:p>
          <w:p w14:paraId="67EACC4C" w14:textId="77777777" w:rsidR="009F038F" w:rsidRPr="009F038F" w:rsidRDefault="009F038F" w:rsidP="009F038F">
            <w:pPr>
              <w:rPr>
                <w:rStyle w:val="normaltextrun"/>
                <w:b/>
                <w:bCs/>
                <w:sz w:val="20"/>
              </w:rPr>
            </w:pPr>
          </w:p>
        </w:tc>
        <w:tc>
          <w:tcPr>
            <w:tcW w:w="3529" w:type="dxa"/>
            <w:vAlign w:val="center"/>
          </w:tcPr>
          <w:p w14:paraId="35AC6B6F" w14:textId="084F4FBE" w:rsidR="009F038F" w:rsidRPr="009F038F" w:rsidRDefault="009F038F" w:rsidP="009F038F">
            <w:pPr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Kingsley House Owner, L.P. or another single-purpose entity controlled by Michael T. Rooney Sr., Michael T. Rooney Jr., Matthew J. Rooney, Nicola DeAcetis, Timothy Henzy and Darren Smith</w:t>
            </w:r>
          </w:p>
        </w:tc>
        <w:tc>
          <w:tcPr>
            <w:tcW w:w="1088" w:type="dxa"/>
            <w:vAlign w:val="center"/>
          </w:tcPr>
          <w:p w14:paraId="32A2436A" w14:textId="65B2F36E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164</w:t>
            </w:r>
          </w:p>
        </w:tc>
        <w:tc>
          <w:tcPr>
            <w:tcW w:w="1517" w:type="dxa"/>
            <w:vAlign w:val="center"/>
          </w:tcPr>
          <w:p w14:paraId="1600F4EE" w14:textId="1D31A0C6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$20,520,000</w:t>
            </w:r>
          </w:p>
        </w:tc>
      </w:tr>
      <w:tr w:rsidR="009F038F" w14:paraId="514B1538" w14:textId="77777777" w:rsidTr="0056187F">
        <w:trPr>
          <w:trHeight w:val="68"/>
        </w:trPr>
        <w:tc>
          <w:tcPr>
            <w:tcW w:w="3666" w:type="dxa"/>
            <w:vAlign w:val="center"/>
          </w:tcPr>
          <w:p w14:paraId="13F18F4B" w14:textId="77777777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9F038F">
              <w:rPr>
                <w:rStyle w:val="normaltextrun"/>
                <w:b/>
                <w:bCs/>
                <w:sz w:val="20"/>
                <w:szCs w:val="20"/>
              </w:rPr>
              <w:t>Amsterdam Housing Authority RAD1</w:t>
            </w:r>
          </w:p>
          <w:p w14:paraId="0D61A651" w14:textId="3512EF09" w:rsidR="009F038F" w:rsidRPr="009F038F" w:rsidRDefault="009F038F" w:rsidP="009F038F">
            <w:pPr>
              <w:rPr>
                <w:rStyle w:val="normaltextrun"/>
                <w:b/>
                <w:bCs/>
                <w:sz w:val="20"/>
              </w:rPr>
            </w:pPr>
            <w:r w:rsidRPr="009F038F">
              <w:rPr>
                <w:rStyle w:val="normaltextrun"/>
                <w:sz w:val="20"/>
              </w:rPr>
              <w:t>26 Wall Street, 95 Division Street, 52-54 Division Street,  Amsterdam, NY 12010 (Montgomery County) </w:t>
            </w:r>
            <w:r w:rsidRPr="009F038F">
              <w:rPr>
                <w:rStyle w:val="eop"/>
                <w:sz w:val="20"/>
              </w:rPr>
              <w:t> </w:t>
            </w:r>
          </w:p>
        </w:tc>
        <w:tc>
          <w:tcPr>
            <w:tcW w:w="3529" w:type="dxa"/>
            <w:vAlign w:val="center"/>
          </w:tcPr>
          <w:p w14:paraId="7636342F" w14:textId="32690E5A" w:rsidR="009F038F" w:rsidRPr="009F038F" w:rsidRDefault="009F038F" w:rsidP="009F038F">
            <w:pPr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Amsterdam NAS Limited Partnership, or another single-purpose entity controlled by 3D Development Group LLC and Rivercrest Development Corporation </w:t>
            </w:r>
            <w:r w:rsidRPr="009F038F">
              <w:rPr>
                <w:rStyle w:val="eop"/>
                <w:sz w:val="20"/>
              </w:rPr>
              <w:t> </w:t>
            </w:r>
          </w:p>
        </w:tc>
        <w:tc>
          <w:tcPr>
            <w:tcW w:w="1088" w:type="dxa"/>
            <w:vAlign w:val="center"/>
          </w:tcPr>
          <w:p w14:paraId="187CE936" w14:textId="0358639F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191</w:t>
            </w:r>
            <w:r w:rsidRPr="009F038F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1517" w:type="dxa"/>
            <w:vAlign w:val="center"/>
          </w:tcPr>
          <w:p w14:paraId="0B0B7318" w14:textId="70F284D4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$25,890,000</w:t>
            </w:r>
          </w:p>
        </w:tc>
      </w:tr>
      <w:tr w:rsidR="009F038F" w14:paraId="4C3D307C" w14:textId="77777777" w:rsidTr="0056187F">
        <w:trPr>
          <w:trHeight w:val="68"/>
        </w:trPr>
        <w:tc>
          <w:tcPr>
            <w:tcW w:w="3666" w:type="dxa"/>
            <w:vAlign w:val="center"/>
          </w:tcPr>
          <w:p w14:paraId="0881C89B" w14:textId="77777777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9F038F">
              <w:rPr>
                <w:rStyle w:val="normaltextrun"/>
                <w:b/>
                <w:bCs/>
                <w:sz w:val="20"/>
                <w:szCs w:val="20"/>
              </w:rPr>
              <w:t>Highgarden Tower</w:t>
            </w:r>
          </w:p>
          <w:p w14:paraId="5ABD04F7" w14:textId="75F996C1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9F038F">
              <w:rPr>
                <w:rStyle w:val="normaltextrun"/>
                <w:sz w:val="20"/>
                <w:szCs w:val="20"/>
              </w:rPr>
              <w:t>11 Garden Street, New Rochelle, NY 10801 (Westchester County) </w:t>
            </w:r>
            <w:r w:rsidRPr="009F038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29" w:type="dxa"/>
            <w:vAlign w:val="center"/>
          </w:tcPr>
          <w:p w14:paraId="20746820" w14:textId="03197004" w:rsidR="009F038F" w:rsidRPr="009F038F" w:rsidRDefault="009F038F" w:rsidP="009F038F">
            <w:pPr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Highgarden Tower LLC, or another single-purpose entity controlled by Georgica Green Ventures, LLC </w:t>
            </w:r>
            <w:r w:rsidRPr="009F038F">
              <w:rPr>
                <w:rStyle w:val="eop"/>
                <w:sz w:val="20"/>
              </w:rPr>
              <w:t> </w:t>
            </w:r>
          </w:p>
        </w:tc>
        <w:tc>
          <w:tcPr>
            <w:tcW w:w="1088" w:type="dxa"/>
            <w:vAlign w:val="center"/>
          </w:tcPr>
          <w:p w14:paraId="2CCB58C9" w14:textId="01EAED59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219</w:t>
            </w:r>
            <w:r w:rsidRPr="009F038F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1517" w:type="dxa"/>
            <w:vAlign w:val="center"/>
          </w:tcPr>
          <w:p w14:paraId="1019E399" w14:textId="2CA02309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 w:rsidRPr="009F038F">
              <w:rPr>
                <w:rStyle w:val="normaltextrun"/>
                <w:sz w:val="20"/>
              </w:rPr>
              <w:t>$86,622,000</w:t>
            </w:r>
            <w:r w:rsidRPr="009F038F">
              <w:rPr>
                <w:rStyle w:val="eop"/>
                <w:sz w:val="20"/>
              </w:rPr>
              <w:t> </w:t>
            </w:r>
          </w:p>
        </w:tc>
      </w:tr>
      <w:tr w:rsidR="009F038F" w14:paraId="0439A4EB" w14:textId="77777777" w:rsidTr="0056187F">
        <w:trPr>
          <w:trHeight w:val="68"/>
        </w:trPr>
        <w:tc>
          <w:tcPr>
            <w:tcW w:w="3666" w:type="dxa"/>
          </w:tcPr>
          <w:p w14:paraId="4B98C9C7" w14:textId="77777777" w:rsidR="009F038F" w:rsidRDefault="009F038F" w:rsidP="009F03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CHV 202</w:t>
            </w:r>
            <w:r>
              <w:rPr>
                <w:b/>
                <w:bCs/>
                <w:sz w:val="20"/>
                <w:vertAlign w:val="superscript"/>
              </w:rPr>
              <w:t>nd</w:t>
            </w:r>
            <w:r>
              <w:rPr>
                <w:b/>
                <w:bCs/>
                <w:sz w:val="20"/>
              </w:rPr>
              <w:t xml:space="preserve"> and 203</w:t>
            </w:r>
            <w:r>
              <w:rPr>
                <w:b/>
                <w:bCs/>
                <w:sz w:val="20"/>
                <w:vertAlign w:val="superscript"/>
              </w:rPr>
              <w:t>rd</w:t>
            </w:r>
            <w:r>
              <w:rPr>
                <w:b/>
                <w:bCs/>
                <w:sz w:val="20"/>
              </w:rPr>
              <w:t xml:space="preserve"> Street</w:t>
            </w:r>
          </w:p>
          <w:p w14:paraId="6BC60A6C" w14:textId="7A01E6CD" w:rsidR="009F038F" w:rsidRDefault="009F038F" w:rsidP="009F038F">
            <w:pPr>
              <w:rPr>
                <w:sz w:val="20"/>
              </w:rPr>
            </w:pPr>
            <w:r>
              <w:rPr>
                <w:sz w:val="20"/>
              </w:rPr>
              <w:t>261 East 202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Street and</w:t>
            </w:r>
          </w:p>
          <w:p w14:paraId="278AAEF9" w14:textId="77777777" w:rsidR="009F038F" w:rsidRDefault="009F038F" w:rsidP="009F038F">
            <w:pPr>
              <w:rPr>
                <w:sz w:val="20"/>
              </w:rPr>
            </w:pPr>
            <w:r>
              <w:rPr>
                <w:sz w:val="20"/>
              </w:rPr>
              <w:t>270 East 203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Street, Bronx, NY </w:t>
            </w:r>
          </w:p>
          <w:p w14:paraId="590FD57E" w14:textId="693CAE8C" w:rsidR="009F038F" w:rsidRPr="009F038F" w:rsidRDefault="009F038F" w:rsidP="009F038F">
            <w:pPr>
              <w:rPr>
                <w:rStyle w:val="normaltextrun"/>
                <w:b/>
                <w:bCs/>
                <w:sz w:val="20"/>
              </w:rPr>
            </w:pPr>
            <w:r>
              <w:rPr>
                <w:sz w:val="20"/>
              </w:rPr>
              <w:t>(Bronx County)</w:t>
            </w:r>
          </w:p>
        </w:tc>
        <w:tc>
          <w:tcPr>
            <w:tcW w:w="3529" w:type="dxa"/>
          </w:tcPr>
          <w:p w14:paraId="4F7E235B" w14:textId="4336AD9A" w:rsidR="009F038F" w:rsidRPr="009F038F" w:rsidRDefault="009F038F" w:rsidP="009F038F">
            <w:pPr>
              <w:rPr>
                <w:rStyle w:val="normaltextrun"/>
                <w:sz w:val="20"/>
              </w:rPr>
            </w:pPr>
            <w:r>
              <w:rPr>
                <w:sz w:val="20"/>
              </w:rPr>
              <w:t xml:space="preserve">CHV Bedford Park, L.P. or another entity controlled by CAMBA Housing Ventures, Inc. </w:t>
            </w:r>
          </w:p>
        </w:tc>
        <w:tc>
          <w:tcPr>
            <w:tcW w:w="1088" w:type="dxa"/>
          </w:tcPr>
          <w:p w14:paraId="351F3912" w14:textId="23AEB81A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1517" w:type="dxa"/>
          </w:tcPr>
          <w:p w14:paraId="09DD274F" w14:textId="00D9780B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>
              <w:rPr>
                <w:sz w:val="20"/>
              </w:rPr>
              <w:t>$99,800,000</w:t>
            </w:r>
          </w:p>
        </w:tc>
      </w:tr>
      <w:tr w:rsidR="0056187F" w14:paraId="5BC020A3" w14:textId="77777777" w:rsidTr="0056187F">
        <w:trPr>
          <w:trHeight w:val="68"/>
        </w:trPr>
        <w:tc>
          <w:tcPr>
            <w:tcW w:w="3666" w:type="dxa"/>
            <w:vAlign w:val="center"/>
          </w:tcPr>
          <w:p w14:paraId="40E8BA8A" w14:textId="77777777" w:rsidR="0056187F" w:rsidRPr="0056187F" w:rsidRDefault="0056187F" w:rsidP="00561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56187F">
              <w:rPr>
                <w:rStyle w:val="normaltextrun"/>
                <w:b/>
                <w:bCs/>
                <w:sz w:val="20"/>
                <w:szCs w:val="20"/>
              </w:rPr>
              <w:t>Clifford Avenue</w:t>
            </w:r>
          </w:p>
          <w:p w14:paraId="10987560" w14:textId="455AA13F" w:rsidR="0056187F" w:rsidRPr="0056187F" w:rsidRDefault="0056187F" w:rsidP="00561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56187F">
              <w:rPr>
                <w:rStyle w:val="normaltextrun"/>
                <w:sz w:val="20"/>
                <w:szCs w:val="20"/>
              </w:rPr>
              <w:t>576-590, 570 &amp; 562-566 Joseph Avenue</w:t>
            </w:r>
          </w:p>
          <w:p w14:paraId="43DBA224" w14:textId="77777777" w:rsidR="0056187F" w:rsidRPr="0056187F" w:rsidRDefault="0056187F" w:rsidP="00561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56187F">
              <w:rPr>
                <w:rStyle w:val="normaltextrun"/>
                <w:sz w:val="20"/>
                <w:szCs w:val="20"/>
              </w:rPr>
              <w:t>615, 621 &amp; 625 Clifford Avenue</w:t>
            </w:r>
          </w:p>
          <w:p w14:paraId="5BE816BE" w14:textId="77777777" w:rsidR="0056187F" w:rsidRPr="0056187F" w:rsidRDefault="0056187F" w:rsidP="00561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56187F">
              <w:rPr>
                <w:rStyle w:val="normaltextrun"/>
                <w:sz w:val="20"/>
                <w:szCs w:val="20"/>
              </w:rPr>
              <w:t>1,2,3,4,5 &amp; 6 Theodore Street</w:t>
            </w:r>
          </w:p>
          <w:p w14:paraId="71BD64CA" w14:textId="77777777" w:rsidR="0056187F" w:rsidRPr="0056187F" w:rsidRDefault="0056187F" w:rsidP="00561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56187F">
              <w:rPr>
                <w:rStyle w:val="normaltextrun"/>
                <w:sz w:val="20"/>
                <w:szCs w:val="20"/>
              </w:rPr>
              <w:t>14,16,18,20,24,26,30,34,36,23,25,29,31,35 Maria Street</w:t>
            </w:r>
          </w:p>
          <w:p w14:paraId="0B979AF7" w14:textId="09D09D8F" w:rsidR="0056187F" w:rsidRDefault="0056187F" w:rsidP="0056187F">
            <w:pPr>
              <w:rPr>
                <w:b/>
                <w:bCs/>
                <w:sz w:val="20"/>
              </w:rPr>
            </w:pPr>
            <w:r w:rsidRPr="0056187F">
              <w:rPr>
                <w:rStyle w:val="normaltextrun"/>
                <w:sz w:val="20"/>
              </w:rPr>
              <w:t>Rochester, NY 14605</w:t>
            </w:r>
          </w:p>
        </w:tc>
        <w:tc>
          <w:tcPr>
            <w:tcW w:w="3529" w:type="dxa"/>
            <w:vAlign w:val="center"/>
          </w:tcPr>
          <w:p w14:paraId="5220AEC0" w14:textId="23393A50" w:rsidR="0056187F" w:rsidRDefault="0056187F" w:rsidP="0056187F">
            <w:pPr>
              <w:rPr>
                <w:sz w:val="20"/>
              </w:rPr>
            </w:pPr>
            <w:r>
              <w:rPr>
                <w:rStyle w:val="normaltextrun"/>
                <w:sz w:val="20"/>
              </w:rPr>
              <w:t>CDS Clifford Ave, LLC or another single purpose entity controlled by CDS Monarch, Inc.</w:t>
            </w:r>
          </w:p>
        </w:tc>
        <w:tc>
          <w:tcPr>
            <w:tcW w:w="1088" w:type="dxa"/>
            <w:vAlign w:val="center"/>
          </w:tcPr>
          <w:p w14:paraId="4ADCDE5B" w14:textId="657ECDDA" w:rsidR="0056187F" w:rsidRDefault="0056187F" w:rsidP="0056187F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164</w:t>
            </w:r>
          </w:p>
        </w:tc>
        <w:tc>
          <w:tcPr>
            <w:tcW w:w="1517" w:type="dxa"/>
            <w:vAlign w:val="center"/>
          </w:tcPr>
          <w:p w14:paraId="164B2466" w14:textId="4CAC0647" w:rsidR="0056187F" w:rsidRDefault="0056187F" w:rsidP="0056187F">
            <w:pPr>
              <w:jc w:val="center"/>
              <w:rPr>
                <w:sz w:val="20"/>
              </w:rPr>
            </w:pPr>
            <w:r>
              <w:rPr>
                <w:rStyle w:val="normaltextrun"/>
                <w:sz w:val="20"/>
              </w:rPr>
              <w:t>26,715,000</w:t>
            </w:r>
          </w:p>
        </w:tc>
      </w:tr>
      <w:tr w:rsidR="009F038F" w14:paraId="49EEE062" w14:textId="77777777" w:rsidTr="0056187F">
        <w:trPr>
          <w:trHeight w:val="68"/>
        </w:trPr>
        <w:tc>
          <w:tcPr>
            <w:tcW w:w="3666" w:type="dxa"/>
          </w:tcPr>
          <w:p w14:paraId="1ED91A4A" w14:textId="77777777" w:rsidR="009F038F" w:rsidRDefault="009F038F" w:rsidP="009F038F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29 Flatbush Apartments</w:t>
            </w:r>
          </w:p>
          <w:p w14:paraId="1FAD36AD" w14:textId="09D24FD8" w:rsidR="009F038F" w:rsidRPr="009F038F" w:rsidRDefault="009F038F" w:rsidP="009F03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29 Flatbush Avenue (aka 66 Rockwell Place), Brooklyn, NY (Kings County)</w:t>
            </w:r>
          </w:p>
        </w:tc>
        <w:tc>
          <w:tcPr>
            <w:tcW w:w="3529" w:type="dxa"/>
          </w:tcPr>
          <w:p w14:paraId="53175DCB" w14:textId="644DC578" w:rsidR="009F038F" w:rsidRPr="009F038F" w:rsidRDefault="009F038F" w:rsidP="009F038F">
            <w:pPr>
              <w:rPr>
                <w:rStyle w:val="normaltextrun"/>
                <w:sz w:val="20"/>
              </w:rPr>
            </w:pPr>
            <w:r w:rsidRPr="004B4C7B">
              <w:rPr>
                <w:sz w:val="20"/>
              </w:rPr>
              <w:t xml:space="preserve">29 Flatbush Associates, LLC </w:t>
            </w:r>
          </w:p>
        </w:tc>
        <w:tc>
          <w:tcPr>
            <w:tcW w:w="1088" w:type="dxa"/>
          </w:tcPr>
          <w:p w14:paraId="42761182" w14:textId="169D68AF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1517" w:type="dxa"/>
          </w:tcPr>
          <w:p w14:paraId="468A7D1F" w14:textId="2FC5BE1E" w:rsidR="009F038F" w:rsidRPr="009F038F" w:rsidRDefault="009F038F" w:rsidP="009F038F">
            <w:pPr>
              <w:jc w:val="center"/>
              <w:rPr>
                <w:rStyle w:val="normaltextrun"/>
                <w:sz w:val="20"/>
              </w:rPr>
            </w:pPr>
            <w:r>
              <w:rPr>
                <w:sz w:val="20"/>
              </w:rPr>
              <w:t>$99,000,000</w:t>
            </w:r>
          </w:p>
        </w:tc>
      </w:tr>
      <w:tr w:rsidR="0056187F" w14:paraId="69074F76" w14:textId="77777777" w:rsidTr="0056187F">
        <w:trPr>
          <w:trHeight w:val="68"/>
        </w:trPr>
        <w:tc>
          <w:tcPr>
            <w:tcW w:w="3666" w:type="dxa"/>
          </w:tcPr>
          <w:p w14:paraId="70CBCBE7" w14:textId="77777777" w:rsidR="0056187F" w:rsidRDefault="0056187F" w:rsidP="0056187F">
            <w:pPr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750 Sixth Avenue Apartments</w:t>
            </w:r>
          </w:p>
          <w:p w14:paraId="6BD6E1C1" w14:textId="555A631D" w:rsidR="0056187F" w:rsidRDefault="0056187F" w:rsidP="0056187F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77 West 24th Street, New York, New York (New York County)</w:t>
            </w:r>
          </w:p>
        </w:tc>
        <w:tc>
          <w:tcPr>
            <w:tcW w:w="3529" w:type="dxa"/>
          </w:tcPr>
          <w:p w14:paraId="079935AB" w14:textId="77777777" w:rsidR="0056187F" w:rsidRDefault="0056187F" w:rsidP="0056187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Chelsea Associates LLC</w:t>
            </w:r>
          </w:p>
          <w:p w14:paraId="2D9F98D5" w14:textId="1BAC8457" w:rsidR="0056187F" w:rsidRPr="004B4C7B" w:rsidRDefault="0056187F" w:rsidP="0056187F">
            <w:pPr>
              <w:rPr>
                <w:sz w:val="20"/>
              </w:rPr>
            </w:pPr>
            <w:r>
              <w:rPr>
                <w:sz w:val="20"/>
              </w:rPr>
              <w:t>Chelsea Associates Fee Owner LLC</w:t>
            </w:r>
          </w:p>
        </w:tc>
        <w:tc>
          <w:tcPr>
            <w:tcW w:w="1088" w:type="dxa"/>
          </w:tcPr>
          <w:p w14:paraId="5EB6F69F" w14:textId="445DBF51" w:rsidR="0056187F" w:rsidRDefault="0056187F" w:rsidP="0056187F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60 low income units as part of a 301 unit project</w:t>
            </w:r>
          </w:p>
        </w:tc>
        <w:tc>
          <w:tcPr>
            <w:tcW w:w="1517" w:type="dxa"/>
          </w:tcPr>
          <w:p w14:paraId="2C202A66" w14:textId="5B816BBA" w:rsidR="0056187F" w:rsidRDefault="0056187F" w:rsidP="00561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$65,200,000</w:t>
            </w:r>
          </w:p>
        </w:tc>
      </w:tr>
    </w:tbl>
    <w:p w14:paraId="0CC9F763" w14:textId="77777777" w:rsidR="004A3F00" w:rsidRPr="009C1CF5" w:rsidRDefault="004A3F00" w:rsidP="004A3F00"/>
    <w:p w14:paraId="3CFD239F" w14:textId="3D3ADB24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4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11466BC5" w14:textId="624D3409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5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597192">
        <w:t xml:space="preserve">November </w:t>
      </w:r>
      <w:r w:rsidR="0056187F">
        <w:t>18</w:t>
      </w:r>
      <w:r w:rsidR="008B1E5D" w:rsidRPr="00833A31">
        <w:t>, 20</w:t>
      </w:r>
      <w:r w:rsidR="000E0930">
        <w:t>20</w:t>
      </w:r>
      <w:r w:rsidRPr="00833A31">
        <w:t>.</w:t>
      </w:r>
    </w:p>
    <w:sectPr w:rsidR="007E645B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FD7"/>
    <w:rsid w:val="000E0930"/>
    <w:rsid w:val="000E0975"/>
    <w:rsid w:val="000E0B67"/>
    <w:rsid w:val="000E6DE1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26FE"/>
    <w:rsid w:val="001B3BCA"/>
    <w:rsid w:val="001C1382"/>
    <w:rsid w:val="001D1ABE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6547"/>
    <w:rsid w:val="0023176D"/>
    <w:rsid w:val="00236C98"/>
    <w:rsid w:val="00237ECE"/>
    <w:rsid w:val="0024023B"/>
    <w:rsid w:val="00243531"/>
    <w:rsid w:val="0025046C"/>
    <w:rsid w:val="00253529"/>
    <w:rsid w:val="00256F8C"/>
    <w:rsid w:val="002608D9"/>
    <w:rsid w:val="00263A7B"/>
    <w:rsid w:val="00267938"/>
    <w:rsid w:val="0027439C"/>
    <w:rsid w:val="00275894"/>
    <w:rsid w:val="00275E84"/>
    <w:rsid w:val="00286C5B"/>
    <w:rsid w:val="00290C2D"/>
    <w:rsid w:val="0029161B"/>
    <w:rsid w:val="00294CEF"/>
    <w:rsid w:val="00297454"/>
    <w:rsid w:val="002A3E9A"/>
    <w:rsid w:val="002A42DE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2416"/>
    <w:rsid w:val="003A4C16"/>
    <w:rsid w:val="003A7088"/>
    <w:rsid w:val="003B06E9"/>
    <w:rsid w:val="003B558E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6839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2820"/>
    <w:rsid w:val="007C1D29"/>
    <w:rsid w:val="007C3FD1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363ED"/>
    <w:rsid w:val="00A36F24"/>
    <w:rsid w:val="00A42B31"/>
    <w:rsid w:val="00A43AE5"/>
    <w:rsid w:val="00A50FA2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426E"/>
    <w:rsid w:val="00B75B38"/>
    <w:rsid w:val="00B75F12"/>
    <w:rsid w:val="00B77E52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80DE7"/>
    <w:rsid w:val="00C82362"/>
    <w:rsid w:val="00C84346"/>
    <w:rsid w:val="00C850EF"/>
    <w:rsid w:val="00C9511D"/>
    <w:rsid w:val="00CA7924"/>
    <w:rsid w:val="00CB0489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30F5"/>
    <w:rsid w:val="00F63FFD"/>
    <w:rsid w:val="00F72930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0570B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ni.Sochet@nyshcr.org" TargetMode="External"/><Relationship Id="rId4" Type="http://schemas.openxmlformats.org/officeDocument/2006/relationships/hyperlink" Target="mailto:Charni.Sochet@nys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4</cp:revision>
  <cp:lastPrinted>2017-09-19T20:24:00Z</cp:lastPrinted>
  <dcterms:created xsi:type="dcterms:W3CDTF">2020-11-10T02:53:00Z</dcterms:created>
  <dcterms:modified xsi:type="dcterms:W3CDTF">2020-11-12T00:50:00Z</dcterms:modified>
</cp:coreProperties>
</file>