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116B2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NOTICE OF PUBLIC HEARING</w:t>
      </w:r>
    </w:p>
    <w:p w14:paraId="17A09E48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ON PROPOSED ISSUANCE</w:t>
      </w:r>
      <w:r w:rsidR="00DF3C66" w:rsidRPr="00833A31">
        <w:rPr>
          <w:b/>
        </w:rPr>
        <w:t xml:space="preserve"> </w:t>
      </w:r>
      <w:r w:rsidRPr="00833A31">
        <w:rPr>
          <w:b/>
        </w:rPr>
        <w:t>OF</w:t>
      </w:r>
    </w:p>
    <w:p w14:paraId="07E4EE0D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TAX-EXEMPT MULTIFAMILY HOUSING REVENUE BONDS</w:t>
      </w:r>
    </w:p>
    <w:p w14:paraId="748D1D8B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BY THE</w:t>
      </w:r>
    </w:p>
    <w:p w14:paraId="64B35FDF" w14:textId="77777777" w:rsidR="007E645B" w:rsidRPr="00833A31" w:rsidRDefault="007E645B" w:rsidP="007E645B">
      <w:pPr>
        <w:spacing w:after="240"/>
        <w:jc w:val="center"/>
        <w:rPr>
          <w:b/>
        </w:rPr>
      </w:pPr>
      <w:r w:rsidRPr="00833A31">
        <w:rPr>
          <w:b/>
        </w:rPr>
        <w:t>NEW YORK STATE HOUSING FINANCE AGENCY</w:t>
      </w:r>
    </w:p>
    <w:p w14:paraId="5071C9F3" w14:textId="3C77888E" w:rsidR="007E645B" w:rsidRPr="00833A31" w:rsidRDefault="009B2834" w:rsidP="007E645B">
      <w:pPr>
        <w:jc w:val="both"/>
      </w:pPr>
      <w:r w:rsidRPr="00833A31">
        <w:t xml:space="preserve">PUBLIC NOTICE IS HEREBY GIVEN that, at the </w:t>
      </w:r>
      <w:r w:rsidR="00C54930">
        <w:t xml:space="preserve">date and </w:t>
      </w:r>
      <w:r w:rsidRPr="00833A31">
        <w:t xml:space="preserve">time set forth below, the New York State Housing Finance Agency (the “Agency”) will conduct a public hearing </w:t>
      </w:r>
      <w:r w:rsidR="00C54930">
        <w:t>using the toll</w:t>
      </w:r>
      <w:r w:rsidR="006F502B">
        <w:t>-</w:t>
      </w:r>
      <w:r w:rsidR="00C54930">
        <w:t xml:space="preserve">free telephone number </w:t>
      </w:r>
      <w:r w:rsidR="0063775E">
        <w:t>and meeting number</w:t>
      </w:r>
      <w:r w:rsidR="001F0C46">
        <w:t xml:space="preserve"> (access code)</w:t>
      </w:r>
      <w:r w:rsidR="0063775E">
        <w:t xml:space="preserve"> </w:t>
      </w:r>
      <w:r w:rsidR="00C54930">
        <w:t xml:space="preserve">below </w:t>
      </w:r>
      <w:r w:rsidRPr="00833A31">
        <w:t>for the purpose of giving interested persons an opportunity to express their views, orally or in writing, regarding the proposed multifamily residential rental project</w:t>
      </w:r>
      <w:r w:rsidR="00C54930">
        <w:t>s</w:t>
      </w:r>
      <w:r w:rsidRPr="00833A31">
        <w:t xml:space="preserve"> listed below (</w:t>
      </w:r>
      <w:r w:rsidR="00C54930">
        <w:t xml:space="preserve">collectively, </w:t>
      </w:r>
      <w:r w:rsidRPr="00833A31">
        <w:t>the “Project</w:t>
      </w:r>
      <w:r w:rsidR="00C54930">
        <w:t>s</w:t>
      </w:r>
      <w:r w:rsidRPr="00833A31">
        <w:t xml:space="preserve">”) and the issuance of tax-exempt and/or taxable multifamily housing revenue bonds (“Bonds”) for the purpose of providing a portion of the funds by making one or more mortgage loans in order to (i) finance or refinance, in whole or in part, the acquisition, construction and/or </w:t>
      </w:r>
      <w:r w:rsidRPr="00080A1A">
        <w:t>rehabilitation of the Project</w:t>
      </w:r>
      <w:r w:rsidR="00C54930" w:rsidRPr="00080A1A">
        <w:t>s</w:t>
      </w:r>
      <w:r w:rsidRPr="00080A1A">
        <w:t>, (ii) finance reserve funds and/or costs of issuance related to the Bonds, and/or (iii) refund bonds of the Agency in order to make additional funds available for the Project</w:t>
      </w:r>
      <w:r w:rsidR="00C54930" w:rsidRPr="00080A1A">
        <w:t>s</w:t>
      </w:r>
      <w:r w:rsidRPr="00080A1A">
        <w:t>.</w:t>
      </w:r>
      <w:r w:rsidRPr="00833A31">
        <w:t xml:space="preserve">  The Bonds may be issued in one or more series (one or more series of which may have previously been issued).  </w:t>
      </w:r>
    </w:p>
    <w:p w14:paraId="385D443F" w14:textId="77777777" w:rsidR="0078050F" w:rsidRPr="00833A31" w:rsidRDefault="0078050F" w:rsidP="007E645B">
      <w:pPr>
        <w:rPr>
          <w:b/>
          <w:u w:val="single"/>
        </w:rPr>
      </w:pPr>
    </w:p>
    <w:p w14:paraId="6D0FFDF9" w14:textId="60D497A0" w:rsidR="007E645B" w:rsidRDefault="007E645B" w:rsidP="007E645B">
      <w:pPr>
        <w:rPr>
          <w:b/>
        </w:rPr>
      </w:pPr>
      <w:r w:rsidRPr="00833A31">
        <w:rPr>
          <w:b/>
          <w:u w:val="single"/>
        </w:rPr>
        <w:t>Date and Time</w:t>
      </w:r>
      <w:r w:rsidRPr="00833A31">
        <w:t>:</w:t>
      </w:r>
      <w:r w:rsidRPr="00833A31">
        <w:rPr>
          <w:b/>
        </w:rPr>
        <w:tab/>
      </w:r>
      <w:r w:rsidRPr="00833A31">
        <w:rPr>
          <w:b/>
        </w:rPr>
        <w:tab/>
      </w:r>
      <w:r w:rsidR="00F232B6">
        <w:rPr>
          <w:b/>
        </w:rPr>
        <w:t>May 2</w:t>
      </w:r>
      <w:r w:rsidR="00252C61">
        <w:rPr>
          <w:b/>
        </w:rPr>
        <w:t>4</w:t>
      </w:r>
      <w:r w:rsidR="00556B63">
        <w:rPr>
          <w:b/>
        </w:rPr>
        <w:t>,</w:t>
      </w:r>
      <w:r w:rsidR="00141541" w:rsidRPr="00833A31">
        <w:rPr>
          <w:b/>
        </w:rPr>
        <w:t xml:space="preserve"> 20</w:t>
      </w:r>
      <w:r w:rsidR="000E0930">
        <w:rPr>
          <w:b/>
        </w:rPr>
        <w:t>2</w:t>
      </w:r>
      <w:r w:rsidR="001B6B29">
        <w:rPr>
          <w:b/>
        </w:rPr>
        <w:t>1</w:t>
      </w:r>
      <w:r w:rsidR="00BA25BF" w:rsidRPr="00833A31">
        <w:rPr>
          <w:b/>
        </w:rPr>
        <w:t xml:space="preserve">, </w:t>
      </w:r>
      <w:r w:rsidR="00F1479C">
        <w:rPr>
          <w:b/>
        </w:rPr>
        <w:t>1</w:t>
      </w:r>
      <w:r w:rsidR="00BC57A9">
        <w:rPr>
          <w:b/>
        </w:rPr>
        <w:t>0</w:t>
      </w:r>
      <w:r w:rsidR="00340DD9" w:rsidRPr="00B51B48">
        <w:rPr>
          <w:b/>
        </w:rPr>
        <w:t>:</w:t>
      </w:r>
      <w:r w:rsidR="00BC57A9">
        <w:rPr>
          <w:b/>
        </w:rPr>
        <w:t>3</w:t>
      </w:r>
      <w:r w:rsidR="00340DD9" w:rsidRPr="00B51B48">
        <w:rPr>
          <w:b/>
        </w:rPr>
        <w:t>0</w:t>
      </w:r>
      <w:r w:rsidR="00F4300A" w:rsidRPr="00B51B48">
        <w:rPr>
          <w:b/>
        </w:rPr>
        <w:t xml:space="preserve"> </w:t>
      </w:r>
      <w:r w:rsidR="00F1479C">
        <w:rPr>
          <w:b/>
        </w:rPr>
        <w:t>a</w:t>
      </w:r>
      <w:r w:rsidR="00F4300A" w:rsidRPr="00B51B48">
        <w:rPr>
          <w:b/>
        </w:rPr>
        <w:t>.m</w:t>
      </w:r>
      <w:r w:rsidRPr="00B51B48">
        <w:rPr>
          <w:b/>
        </w:rPr>
        <w:t>.</w:t>
      </w:r>
    </w:p>
    <w:p w14:paraId="198F388A" w14:textId="77777777" w:rsidR="00C54930" w:rsidRDefault="00C54930" w:rsidP="007E645B">
      <w:pPr>
        <w:rPr>
          <w:b/>
        </w:rPr>
      </w:pPr>
    </w:p>
    <w:p w14:paraId="2678BC02" w14:textId="12F85B81" w:rsidR="009C7662" w:rsidRDefault="00C54930" w:rsidP="009C7662">
      <w:pPr>
        <w:rPr>
          <w:b/>
        </w:rPr>
      </w:pPr>
      <w:r w:rsidRPr="00C54930">
        <w:rPr>
          <w:b/>
          <w:u w:val="single"/>
        </w:rPr>
        <w:t xml:space="preserve">Telephone </w:t>
      </w:r>
      <w:r w:rsidR="0063775E">
        <w:rPr>
          <w:b/>
          <w:u w:val="single"/>
        </w:rPr>
        <w:t>Information</w:t>
      </w:r>
      <w:r>
        <w:rPr>
          <w:b/>
        </w:rPr>
        <w:t>:</w:t>
      </w:r>
      <w:r w:rsidR="0063775E">
        <w:rPr>
          <w:b/>
        </w:rPr>
        <w:tab/>
      </w:r>
      <w:r w:rsidR="0093463B">
        <w:rPr>
          <w:b/>
        </w:rPr>
        <w:t>1-</w:t>
      </w:r>
      <w:r w:rsidR="0093463B" w:rsidRPr="0093463B">
        <w:rPr>
          <w:b/>
        </w:rPr>
        <w:t>866-844-9419</w:t>
      </w:r>
      <w:r w:rsidR="0093463B">
        <w:rPr>
          <w:b/>
        </w:rPr>
        <w:t xml:space="preserve"> </w:t>
      </w:r>
      <w:r w:rsidR="009C7662" w:rsidRPr="0063775E">
        <w:rPr>
          <w:b/>
        </w:rPr>
        <w:t>US Toll Free</w:t>
      </w:r>
    </w:p>
    <w:p w14:paraId="7FA2F3A5" w14:textId="568F1D59" w:rsidR="0093463B" w:rsidRDefault="009C7662" w:rsidP="007E645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3775E">
        <w:rPr>
          <w:b/>
        </w:rPr>
        <w:t>Meeting number (</w:t>
      </w:r>
      <w:r w:rsidR="0093463B">
        <w:rPr>
          <w:b/>
        </w:rPr>
        <w:t>participant</w:t>
      </w:r>
      <w:r w:rsidRPr="0063775E">
        <w:rPr>
          <w:b/>
        </w:rPr>
        <w:t xml:space="preserve"> code): </w:t>
      </w:r>
      <w:r w:rsidR="0093463B">
        <w:rPr>
          <w:b/>
        </w:rPr>
        <w:t>35315763</w:t>
      </w:r>
    </w:p>
    <w:p w14:paraId="1CA8C224" w14:textId="5AD38505" w:rsidR="00760478" w:rsidRPr="00833A31" w:rsidRDefault="002F4EAE" w:rsidP="007E645B">
      <w:pPr>
        <w:rPr>
          <w:b/>
        </w:rPr>
      </w:pPr>
      <w:r>
        <w:rPr>
          <w:b/>
          <w:bCs/>
          <w:szCs w:val="24"/>
        </w:rPr>
        <w:t xml:space="preserve"> _________</w:t>
      </w:r>
    </w:p>
    <w:tbl>
      <w:tblPr>
        <w:tblStyle w:val="TableGrid"/>
        <w:tblW w:w="10114" w:type="dxa"/>
        <w:tblLook w:val="04A0" w:firstRow="1" w:lastRow="0" w:firstColumn="1" w:lastColumn="0" w:noHBand="0" w:noVBand="1"/>
      </w:tblPr>
      <w:tblGrid>
        <w:gridCol w:w="3685"/>
        <w:gridCol w:w="3201"/>
        <w:gridCol w:w="1062"/>
        <w:gridCol w:w="2166"/>
      </w:tblGrid>
      <w:tr w:rsidR="004A3F00" w:rsidRPr="009C1CF5" w14:paraId="703047D5" w14:textId="77777777" w:rsidTr="003C0D10">
        <w:tc>
          <w:tcPr>
            <w:tcW w:w="3685" w:type="dxa"/>
            <w:hideMark/>
          </w:tcPr>
          <w:p w14:paraId="112C9268" w14:textId="77777777" w:rsidR="004A3F00" w:rsidRPr="009C1CF5" w:rsidRDefault="004A3F00" w:rsidP="00B63921">
            <w:pPr>
              <w:jc w:val="center"/>
            </w:pPr>
            <w:r w:rsidRPr="009C1CF5">
              <w:rPr>
                <w:b/>
                <w:bCs/>
                <w:sz w:val="20"/>
              </w:rPr>
              <w:t>Project Name and Location</w:t>
            </w:r>
          </w:p>
        </w:tc>
        <w:tc>
          <w:tcPr>
            <w:tcW w:w="3201" w:type="dxa"/>
            <w:hideMark/>
          </w:tcPr>
          <w:p w14:paraId="75F96383" w14:textId="77777777" w:rsidR="004A3F00" w:rsidRPr="009C1CF5" w:rsidRDefault="004A3F00" w:rsidP="00B63921">
            <w:pPr>
              <w:jc w:val="center"/>
            </w:pPr>
            <w:r w:rsidRPr="009C1CF5">
              <w:rPr>
                <w:b/>
                <w:bCs/>
                <w:sz w:val="20"/>
              </w:rPr>
              <w:t>Owners</w:t>
            </w:r>
          </w:p>
        </w:tc>
        <w:tc>
          <w:tcPr>
            <w:tcW w:w="1062" w:type="dxa"/>
            <w:hideMark/>
          </w:tcPr>
          <w:p w14:paraId="7B6BA095" w14:textId="77777777" w:rsidR="004A3F00" w:rsidRPr="009C1CF5" w:rsidRDefault="004A3F00" w:rsidP="00B63921">
            <w:pPr>
              <w:jc w:val="center"/>
            </w:pPr>
            <w:r w:rsidRPr="009C1CF5">
              <w:rPr>
                <w:b/>
                <w:bCs/>
                <w:sz w:val="20"/>
              </w:rPr>
              <w:t>Approx. # Units</w:t>
            </w:r>
          </w:p>
        </w:tc>
        <w:tc>
          <w:tcPr>
            <w:tcW w:w="2166" w:type="dxa"/>
            <w:hideMark/>
          </w:tcPr>
          <w:p w14:paraId="6AFC680A" w14:textId="77777777" w:rsidR="004A3F00" w:rsidRPr="009C1CF5" w:rsidRDefault="004A3F00" w:rsidP="00B63921">
            <w:pPr>
              <w:jc w:val="center"/>
            </w:pPr>
            <w:r w:rsidRPr="009C1CF5">
              <w:rPr>
                <w:b/>
                <w:bCs/>
                <w:sz w:val="20"/>
              </w:rPr>
              <w:t>Estimated not-to-exceed amount of tax-exempt Bonds</w:t>
            </w:r>
          </w:p>
        </w:tc>
      </w:tr>
      <w:tr w:rsidR="00F232B6" w:rsidRPr="009C1CF5" w14:paraId="65DB3F4A" w14:textId="77777777" w:rsidTr="003C0D10">
        <w:tc>
          <w:tcPr>
            <w:tcW w:w="3685" w:type="dxa"/>
            <w:hideMark/>
          </w:tcPr>
          <w:p w14:paraId="511B546A" w14:textId="77777777" w:rsidR="00F232B6" w:rsidRPr="00F232B6" w:rsidRDefault="00F232B6" w:rsidP="00F232B6">
            <w:pPr>
              <w:rPr>
                <w:b/>
                <w:bCs/>
                <w:sz w:val="20"/>
              </w:rPr>
            </w:pPr>
            <w:r w:rsidRPr="00F232B6">
              <w:rPr>
                <w:b/>
                <w:bCs/>
                <w:sz w:val="20"/>
              </w:rPr>
              <w:t xml:space="preserve">Point and Ravine </w:t>
            </w:r>
          </w:p>
          <w:p w14:paraId="20824705" w14:textId="74DAC0B5" w:rsidR="00F232B6" w:rsidRPr="00F232B6" w:rsidRDefault="00F232B6" w:rsidP="00F232B6">
            <w:pPr>
              <w:rPr>
                <w:sz w:val="20"/>
              </w:rPr>
            </w:pPr>
            <w:r w:rsidRPr="00F232B6">
              <w:rPr>
                <w:sz w:val="20"/>
              </w:rPr>
              <w:t xml:space="preserve">50, 60, 76 Point Street; 56, 58, 60, 63-64, 66-70, 72,74, 78, 80, 81, 83 and 85 Ravine Avenue; </w:t>
            </w:r>
          </w:p>
          <w:p w14:paraId="40EB3C7E" w14:textId="77777777" w:rsidR="00F232B6" w:rsidRPr="00F232B6" w:rsidRDefault="00F232B6" w:rsidP="00F232B6">
            <w:pPr>
              <w:rPr>
                <w:sz w:val="20"/>
              </w:rPr>
            </w:pPr>
            <w:r w:rsidRPr="00F232B6">
              <w:rPr>
                <w:sz w:val="20"/>
              </w:rPr>
              <w:t>Yonkers, NY</w:t>
            </w:r>
          </w:p>
          <w:p w14:paraId="0BF8C881" w14:textId="1B7C9806" w:rsidR="00F232B6" w:rsidRPr="00F232B6" w:rsidRDefault="00F232B6" w:rsidP="00F232B6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6">
              <w:rPr>
                <w:rFonts w:ascii="Times New Roman" w:hAnsi="Times New Roman" w:cs="Times New Roman"/>
                <w:sz w:val="20"/>
                <w:szCs w:val="20"/>
              </w:rPr>
              <w:t>(Westchester County)</w:t>
            </w:r>
          </w:p>
        </w:tc>
        <w:tc>
          <w:tcPr>
            <w:tcW w:w="3201" w:type="dxa"/>
            <w:hideMark/>
          </w:tcPr>
          <w:p w14:paraId="6230C5C4" w14:textId="70198632" w:rsidR="00F232B6" w:rsidRPr="001B6B29" w:rsidRDefault="00F232B6" w:rsidP="00F232B6">
            <w:pPr>
              <w:rPr>
                <w:sz w:val="20"/>
              </w:rPr>
            </w:pPr>
            <w:r w:rsidRPr="0B6C89E9">
              <w:rPr>
                <w:sz w:val="20"/>
              </w:rPr>
              <w:t>Point and Ravine, LLC or another single purpose entity controlled by the principals of Conifer Realty, LLC</w:t>
            </w:r>
          </w:p>
        </w:tc>
        <w:tc>
          <w:tcPr>
            <w:tcW w:w="1062" w:type="dxa"/>
            <w:hideMark/>
          </w:tcPr>
          <w:p w14:paraId="041FE64B" w14:textId="51476EC2" w:rsidR="00F232B6" w:rsidRPr="001B6B29" w:rsidRDefault="00F232B6" w:rsidP="00F232B6">
            <w:pPr>
              <w:jc w:val="center"/>
              <w:rPr>
                <w:sz w:val="20"/>
              </w:rPr>
            </w:pPr>
            <w:r w:rsidRPr="0B6C89E9">
              <w:rPr>
                <w:sz w:val="20"/>
              </w:rPr>
              <w:t>146</w:t>
            </w:r>
          </w:p>
        </w:tc>
        <w:tc>
          <w:tcPr>
            <w:tcW w:w="2166" w:type="dxa"/>
            <w:hideMark/>
          </w:tcPr>
          <w:p w14:paraId="56D288E9" w14:textId="52C3A24B" w:rsidR="00F232B6" w:rsidRPr="001B6B29" w:rsidRDefault="00F232B6" w:rsidP="00F232B6">
            <w:pPr>
              <w:jc w:val="center"/>
              <w:rPr>
                <w:sz w:val="20"/>
              </w:rPr>
            </w:pPr>
            <w:r w:rsidRPr="0B6C89E9">
              <w:rPr>
                <w:sz w:val="20"/>
              </w:rPr>
              <w:t>$49,665,000</w:t>
            </w:r>
          </w:p>
        </w:tc>
      </w:tr>
      <w:tr w:rsidR="00F232B6" w:rsidRPr="009C1CF5" w14:paraId="12C93FF7" w14:textId="77777777" w:rsidTr="003C0D10">
        <w:tc>
          <w:tcPr>
            <w:tcW w:w="3685" w:type="dxa"/>
          </w:tcPr>
          <w:p w14:paraId="668856A1" w14:textId="77777777" w:rsidR="00F232B6" w:rsidRDefault="00F232B6" w:rsidP="00F232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Saint James Terrace</w:t>
            </w:r>
          </w:p>
          <w:p w14:paraId="177039FB" w14:textId="1B4294DA" w:rsidR="00F232B6" w:rsidRDefault="00F232B6" w:rsidP="00F232B6">
            <w:pPr>
              <w:rPr>
                <w:sz w:val="20"/>
              </w:rPr>
            </w:pPr>
            <w:r>
              <w:rPr>
                <w:sz w:val="20"/>
              </w:rPr>
              <w:t>2518 and 2520 Jerome Avenue</w:t>
            </w:r>
          </w:p>
          <w:p w14:paraId="476D1458" w14:textId="77777777" w:rsidR="00F232B6" w:rsidRDefault="00F232B6" w:rsidP="00F232B6">
            <w:pPr>
              <w:rPr>
                <w:sz w:val="20"/>
              </w:rPr>
            </w:pPr>
            <w:r>
              <w:rPr>
                <w:sz w:val="20"/>
              </w:rPr>
              <w:t>New York City, NY</w:t>
            </w:r>
          </w:p>
          <w:p w14:paraId="6EECF1E5" w14:textId="3EB25CB8" w:rsidR="00F232B6" w:rsidRDefault="00F232B6" w:rsidP="00F232B6">
            <w:pPr>
              <w:spacing w:line="252" w:lineRule="auto"/>
              <w:rPr>
                <w:b/>
                <w:bCs/>
                <w:sz w:val="20"/>
              </w:rPr>
            </w:pPr>
            <w:r>
              <w:rPr>
                <w:sz w:val="20"/>
              </w:rPr>
              <w:t>(Bronx County)</w:t>
            </w:r>
          </w:p>
        </w:tc>
        <w:tc>
          <w:tcPr>
            <w:tcW w:w="3201" w:type="dxa"/>
          </w:tcPr>
          <w:p w14:paraId="1308DE9F" w14:textId="5B9BD622" w:rsidR="00F232B6" w:rsidRDefault="00F232B6" w:rsidP="00F232B6">
            <w:pPr>
              <w:rPr>
                <w:sz w:val="20"/>
              </w:rPr>
            </w:pPr>
            <w:r>
              <w:rPr>
                <w:sz w:val="20"/>
              </w:rPr>
              <w:t>CHP ST. JAMES LLC or another single purpose entity controlled by Concern for Independent Living, Inc.</w:t>
            </w:r>
          </w:p>
        </w:tc>
        <w:tc>
          <w:tcPr>
            <w:tcW w:w="1062" w:type="dxa"/>
          </w:tcPr>
          <w:p w14:paraId="56513A20" w14:textId="0472C7A6" w:rsidR="00F232B6" w:rsidRDefault="00F232B6" w:rsidP="00F232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2166" w:type="dxa"/>
          </w:tcPr>
          <w:p w14:paraId="052FB898" w14:textId="4261D0FE" w:rsidR="00F232B6" w:rsidRDefault="00F232B6" w:rsidP="00F232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$36,000,000</w:t>
            </w:r>
          </w:p>
        </w:tc>
      </w:tr>
      <w:tr w:rsidR="00F232B6" w:rsidRPr="009C1CF5" w14:paraId="4DEFF3C2" w14:textId="77777777" w:rsidTr="003C0D10">
        <w:tc>
          <w:tcPr>
            <w:tcW w:w="3685" w:type="dxa"/>
          </w:tcPr>
          <w:p w14:paraId="3D9B8820" w14:textId="77777777" w:rsidR="00F232B6" w:rsidRDefault="00F232B6" w:rsidP="00F232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Friendship Lodge</w:t>
            </w:r>
          </w:p>
          <w:p w14:paraId="12AA053C" w14:textId="12C20407" w:rsidR="00F232B6" w:rsidRDefault="00F232B6" w:rsidP="00F232B6">
            <w:pPr>
              <w:spacing w:line="252" w:lineRule="auto"/>
              <w:rPr>
                <w:b/>
                <w:bCs/>
                <w:sz w:val="20"/>
              </w:rPr>
            </w:pPr>
            <w:r w:rsidRPr="00EB3036">
              <w:rPr>
                <w:color w:val="000000"/>
                <w:sz w:val="20"/>
                <w:szCs w:val="16"/>
                <w:bdr w:val="none" w:sz="0" w:space="0" w:color="auto" w:frame="1"/>
                <w:shd w:val="clear" w:color="auto" w:fill="FFFFFF"/>
              </w:rPr>
              <w:t>507 North Perry Street, Johnstown, NY 12095 (Fulton County)</w:t>
            </w:r>
            <w:r w:rsidRPr="00EB3036">
              <w:rPr>
                <w:b/>
                <w:bCs/>
                <w:color w:val="000000"/>
                <w:sz w:val="20"/>
                <w:szCs w:val="16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3201" w:type="dxa"/>
          </w:tcPr>
          <w:p w14:paraId="1F978CEA" w14:textId="38213033" w:rsidR="00F232B6" w:rsidRDefault="00F232B6" w:rsidP="00F232B6">
            <w:pPr>
              <w:rPr>
                <w:sz w:val="20"/>
              </w:rPr>
            </w:pPr>
            <w:r w:rsidRPr="00EB3036">
              <w:rPr>
                <w:color w:val="000000"/>
                <w:sz w:val="20"/>
              </w:rPr>
              <w:t xml:space="preserve">Fulton Friendship LLC </w:t>
            </w:r>
            <w:r w:rsidRPr="00EB3036">
              <w:rPr>
                <w:sz w:val="20"/>
              </w:rPr>
              <w:t xml:space="preserve">or another single purpose entity controlled by the principals of </w:t>
            </w:r>
            <w:r w:rsidRPr="00EB3036">
              <w:rPr>
                <w:color w:val="000000"/>
                <w:sz w:val="20"/>
              </w:rPr>
              <w:t>Fulton Friendship House, Inc (FFH)</w:t>
            </w:r>
          </w:p>
        </w:tc>
        <w:tc>
          <w:tcPr>
            <w:tcW w:w="1062" w:type="dxa"/>
          </w:tcPr>
          <w:p w14:paraId="1405B6BE" w14:textId="6C42DC15" w:rsidR="00F232B6" w:rsidRDefault="00F232B6" w:rsidP="00F232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2166" w:type="dxa"/>
          </w:tcPr>
          <w:p w14:paraId="3A40404F" w14:textId="5C01FD60" w:rsidR="00F232B6" w:rsidRDefault="00F232B6" w:rsidP="00F232B6">
            <w:pPr>
              <w:jc w:val="center"/>
              <w:rPr>
                <w:sz w:val="20"/>
              </w:rPr>
            </w:pPr>
            <w:r w:rsidRPr="00EB3036">
              <w:rPr>
                <w:sz w:val="20"/>
              </w:rPr>
              <w:t>$10,430,500</w:t>
            </w:r>
          </w:p>
        </w:tc>
      </w:tr>
      <w:tr w:rsidR="00F232B6" w:rsidRPr="009C1CF5" w14:paraId="6A1C39BD" w14:textId="77777777" w:rsidTr="003C0D10">
        <w:tc>
          <w:tcPr>
            <w:tcW w:w="3685" w:type="dxa"/>
          </w:tcPr>
          <w:p w14:paraId="19F44183" w14:textId="77777777" w:rsidR="00F232B6" w:rsidRDefault="00F232B6" w:rsidP="00F232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PathStone Portfolio</w:t>
            </w:r>
          </w:p>
          <w:p w14:paraId="4A81EC4C" w14:textId="77777777" w:rsidR="00F232B6" w:rsidRPr="00D23365" w:rsidRDefault="00F232B6" w:rsidP="00F232B6">
            <w:pPr>
              <w:rPr>
                <w:sz w:val="20"/>
              </w:rPr>
            </w:pPr>
            <w:r w:rsidRPr="00D23365">
              <w:rPr>
                <w:sz w:val="20"/>
              </w:rPr>
              <w:t>80 April Way, Geneseo</w:t>
            </w:r>
            <w:r>
              <w:rPr>
                <w:sz w:val="20"/>
              </w:rPr>
              <w:t>, NY (Livingston County)</w:t>
            </w:r>
            <w:r w:rsidRPr="00D23365">
              <w:rPr>
                <w:sz w:val="20"/>
              </w:rPr>
              <w:t xml:space="preserve"> </w:t>
            </w:r>
          </w:p>
          <w:p w14:paraId="7552F1CE" w14:textId="77777777" w:rsidR="00F232B6" w:rsidRPr="00D23365" w:rsidRDefault="00F232B6" w:rsidP="00F232B6">
            <w:pPr>
              <w:rPr>
                <w:sz w:val="20"/>
              </w:rPr>
            </w:pPr>
            <w:r w:rsidRPr="00D23365">
              <w:rPr>
                <w:sz w:val="20"/>
              </w:rPr>
              <w:t>10 Nathaniel Drive, Scottsville</w:t>
            </w:r>
            <w:r>
              <w:rPr>
                <w:sz w:val="20"/>
              </w:rPr>
              <w:t>, NY (Monroe County)</w:t>
            </w:r>
          </w:p>
          <w:p w14:paraId="0A134FA5" w14:textId="77777777" w:rsidR="00F232B6" w:rsidRPr="00D23365" w:rsidRDefault="00F232B6" w:rsidP="00F232B6">
            <w:pPr>
              <w:rPr>
                <w:sz w:val="20"/>
              </w:rPr>
            </w:pPr>
            <w:r w:rsidRPr="00D23365">
              <w:rPr>
                <w:sz w:val="20"/>
              </w:rPr>
              <w:t>14776 Baker Road, Kent</w:t>
            </w:r>
            <w:r>
              <w:rPr>
                <w:sz w:val="20"/>
              </w:rPr>
              <w:t>, NY (Orleans County)</w:t>
            </w:r>
          </w:p>
          <w:p w14:paraId="21E31E52" w14:textId="77777777" w:rsidR="00F232B6" w:rsidRPr="00D23365" w:rsidRDefault="00F232B6" w:rsidP="00F232B6">
            <w:pPr>
              <w:rPr>
                <w:sz w:val="20"/>
              </w:rPr>
            </w:pPr>
            <w:r w:rsidRPr="00D23365">
              <w:rPr>
                <w:sz w:val="20"/>
              </w:rPr>
              <w:t>65 Lydun Drive Extension, Albion</w:t>
            </w:r>
            <w:r>
              <w:rPr>
                <w:sz w:val="20"/>
              </w:rPr>
              <w:t>, NY (Orleans County)</w:t>
            </w:r>
          </w:p>
          <w:p w14:paraId="210EFE2B" w14:textId="77777777" w:rsidR="00F232B6" w:rsidRPr="00D23365" w:rsidRDefault="00F232B6" w:rsidP="00F232B6">
            <w:pPr>
              <w:rPr>
                <w:sz w:val="20"/>
              </w:rPr>
            </w:pPr>
            <w:r w:rsidRPr="00D23365">
              <w:rPr>
                <w:sz w:val="20"/>
              </w:rPr>
              <w:t>99 Sunset Center Lane, Brockport</w:t>
            </w:r>
            <w:r>
              <w:rPr>
                <w:sz w:val="20"/>
              </w:rPr>
              <w:t>, NY (Monroe County)</w:t>
            </w:r>
          </w:p>
          <w:p w14:paraId="57396AF2" w14:textId="77777777" w:rsidR="00F232B6" w:rsidRPr="00D23365" w:rsidRDefault="00F232B6" w:rsidP="00F232B6">
            <w:pPr>
              <w:rPr>
                <w:sz w:val="20"/>
              </w:rPr>
            </w:pPr>
            <w:r w:rsidRPr="00D23365">
              <w:rPr>
                <w:sz w:val="20"/>
              </w:rPr>
              <w:t>7 Lydun Drive Extension, Albion</w:t>
            </w:r>
            <w:r>
              <w:rPr>
                <w:sz w:val="20"/>
              </w:rPr>
              <w:t>, NY (Orleans County)</w:t>
            </w:r>
          </w:p>
          <w:p w14:paraId="09674A3F" w14:textId="50C8B003" w:rsidR="00F232B6" w:rsidRDefault="00F232B6" w:rsidP="00F232B6">
            <w:pPr>
              <w:spacing w:line="252" w:lineRule="auto"/>
              <w:rPr>
                <w:b/>
                <w:bCs/>
                <w:sz w:val="20"/>
              </w:rPr>
            </w:pPr>
            <w:r w:rsidRPr="00D23365">
              <w:rPr>
                <w:sz w:val="20"/>
              </w:rPr>
              <w:t>85 Linhome Drive, West Henrietta</w:t>
            </w:r>
            <w:r>
              <w:rPr>
                <w:sz w:val="20"/>
              </w:rPr>
              <w:t>, NY (Orleans County)</w:t>
            </w:r>
          </w:p>
        </w:tc>
        <w:tc>
          <w:tcPr>
            <w:tcW w:w="3201" w:type="dxa"/>
          </w:tcPr>
          <w:p w14:paraId="5A981486" w14:textId="3E1544B9" w:rsidR="00F232B6" w:rsidRDefault="00F232B6" w:rsidP="00F232B6">
            <w:pPr>
              <w:rPr>
                <w:sz w:val="20"/>
              </w:rPr>
            </w:pPr>
            <w:r w:rsidRPr="00D23365">
              <w:rPr>
                <w:sz w:val="20"/>
              </w:rPr>
              <w:t>LivMoor Portfolio LLC</w:t>
            </w:r>
            <w:r>
              <w:rPr>
                <w:sz w:val="20"/>
              </w:rPr>
              <w:t xml:space="preserve">  or another single purpose entity controlled by the principals of PathStone Corporation. </w:t>
            </w:r>
          </w:p>
        </w:tc>
        <w:tc>
          <w:tcPr>
            <w:tcW w:w="1062" w:type="dxa"/>
          </w:tcPr>
          <w:p w14:paraId="17583704" w14:textId="50FA3AAF" w:rsidR="00F232B6" w:rsidRDefault="00F232B6" w:rsidP="00F232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2166" w:type="dxa"/>
          </w:tcPr>
          <w:p w14:paraId="2E43623B" w14:textId="2AAA1E5F" w:rsidR="00F232B6" w:rsidRDefault="00F232B6" w:rsidP="00F232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$21,505,000</w:t>
            </w:r>
          </w:p>
        </w:tc>
      </w:tr>
      <w:tr w:rsidR="00F232B6" w:rsidRPr="009C1CF5" w14:paraId="158BB75A" w14:textId="77777777" w:rsidTr="003C0D10">
        <w:tc>
          <w:tcPr>
            <w:tcW w:w="3685" w:type="dxa"/>
          </w:tcPr>
          <w:p w14:paraId="300ECE13" w14:textId="77777777" w:rsidR="00F232B6" w:rsidRDefault="00F232B6" w:rsidP="00F232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Asteri Ithaca</w:t>
            </w:r>
          </w:p>
          <w:p w14:paraId="4304720A" w14:textId="77777777" w:rsidR="00F232B6" w:rsidRDefault="00F232B6" w:rsidP="00F232B6">
            <w:pPr>
              <w:rPr>
                <w:sz w:val="20"/>
              </w:rPr>
            </w:pPr>
            <w:r>
              <w:rPr>
                <w:sz w:val="20"/>
              </w:rPr>
              <w:t>118 East Green Street</w:t>
            </w:r>
          </w:p>
          <w:p w14:paraId="1C97B9E2" w14:textId="77777777" w:rsidR="00F232B6" w:rsidRDefault="00F232B6" w:rsidP="00F232B6">
            <w:pPr>
              <w:rPr>
                <w:sz w:val="20"/>
              </w:rPr>
            </w:pPr>
            <w:r>
              <w:rPr>
                <w:sz w:val="20"/>
              </w:rPr>
              <w:t>Ithaca, NY</w:t>
            </w:r>
          </w:p>
          <w:p w14:paraId="7EDAC761" w14:textId="03C2DB30" w:rsidR="00F232B6" w:rsidRDefault="00F232B6" w:rsidP="00F232B6">
            <w:pPr>
              <w:spacing w:line="252" w:lineRule="auto"/>
              <w:rPr>
                <w:b/>
                <w:bCs/>
                <w:sz w:val="20"/>
              </w:rPr>
            </w:pPr>
            <w:r>
              <w:rPr>
                <w:sz w:val="20"/>
              </w:rPr>
              <w:t>(Tompkins County)</w:t>
            </w:r>
          </w:p>
        </w:tc>
        <w:tc>
          <w:tcPr>
            <w:tcW w:w="3201" w:type="dxa"/>
          </w:tcPr>
          <w:p w14:paraId="2A1FD5CA" w14:textId="655F69DF" w:rsidR="00F232B6" w:rsidRDefault="00F232B6" w:rsidP="00F232B6">
            <w:pPr>
              <w:rPr>
                <w:sz w:val="20"/>
              </w:rPr>
            </w:pPr>
            <w:r>
              <w:rPr>
                <w:sz w:val="20"/>
              </w:rPr>
              <w:t>Asteri Ithaca LLC or another single purpose entity controlled by the principals of Vecino Group New York LLC</w:t>
            </w:r>
          </w:p>
        </w:tc>
        <w:tc>
          <w:tcPr>
            <w:tcW w:w="1062" w:type="dxa"/>
          </w:tcPr>
          <w:p w14:paraId="22598279" w14:textId="186D7B03" w:rsidR="00F232B6" w:rsidRDefault="00F232B6" w:rsidP="00F232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2166" w:type="dxa"/>
          </w:tcPr>
          <w:p w14:paraId="5EEF187F" w14:textId="3B14E441" w:rsidR="00F232B6" w:rsidRDefault="00F232B6" w:rsidP="00F232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$33,400,000</w:t>
            </w:r>
          </w:p>
        </w:tc>
      </w:tr>
      <w:tr w:rsidR="00F232B6" w:rsidRPr="009C1CF5" w14:paraId="532F8CC6" w14:textId="77777777" w:rsidTr="003C0D10">
        <w:tc>
          <w:tcPr>
            <w:tcW w:w="3685" w:type="dxa"/>
          </w:tcPr>
          <w:p w14:paraId="3F174957" w14:textId="2060751D" w:rsidR="00F232B6" w:rsidRPr="00EF25B6" w:rsidRDefault="00F232B6" w:rsidP="00F232B6">
            <w:pPr>
              <w:rPr>
                <w:sz w:val="20"/>
              </w:rPr>
            </w:pPr>
            <w:r w:rsidRPr="00076675">
              <w:rPr>
                <w:b/>
                <w:bCs/>
                <w:sz w:val="20"/>
              </w:rPr>
              <w:t>Garden Towers Apartments</w:t>
            </w:r>
          </w:p>
          <w:p w14:paraId="7C2B31AB" w14:textId="7F75A324" w:rsidR="00F232B6" w:rsidRPr="00EF25B6" w:rsidRDefault="00F232B6" w:rsidP="00F232B6">
            <w:pPr>
              <w:rPr>
                <w:sz w:val="20"/>
              </w:rPr>
            </w:pPr>
            <w:r w:rsidRPr="00EF25B6">
              <w:rPr>
                <w:sz w:val="20"/>
              </w:rPr>
              <w:t>1323 Boston Road</w:t>
            </w:r>
            <w:r>
              <w:rPr>
                <w:sz w:val="20"/>
              </w:rPr>
              <w:t xml:space="preserve"> and</w:t>
            </w:r>
          </w:p>
          <w:p w14:paraId="24C6D197" w14:textId="6614F2E5" w:rsidR="00F232B6" w:rsidRPr="00EF25B6" w:rsidRDefault="00F232B6" w:rsidP="00F232B6">
            <w:pPr>
              <w:rPr>
                <w:sz w:val="20"/>
              </w:rPr>
            </w:pPr>
            <w:r w:rsidRPr="00EF25B6">
              <w:rPr>
                <w:sz w:val="20"/>
              </w:rPr>
              <w:t>1332 Clinton Avenue</w:t>
            </w:r>
          </w:p>
          <w:p w14:paraId="2C05AACC" w14:textId="2C3AA5B1" w:rsidR="00F232B6" w:rsidRDefault="00F232B6" w:rsidP="00F232B6">
            <w:pPr>
              <w:rPr>
                <w:b/>
                <w:bCs/>
                <w:sz w:val="20"/>
              </w:rPr>
            </w:pPr>
            <w:r w:rsidRPr="00EF25B6">
              <w:rPr>
                <w:sz w:val="20"/>
              </w:rPr>
              <w:t>Bronx, NY (Bronx County)</w:t>
            </w:r>
          </w:p>
        </w:tc>
        <w:tc>
          <w:tcPr>
            <w:tcW w:w="3201" w:type="dxa"/>
          </w:tcPr>
          <w:p w14:paraId="2BBFD74E" w14:textId="77777777" w:rsidR="00F232B6" w:rsidRPr="00EF25B6" w:rsidRDefault="00F232B6" w:rsidP="00F232B6">
            <w:pPr>
              <w:rPr>
                <w:sz w:val="20"/>
              </w:rPr>
            </w:pPr>
            <w:r w:rsidRPr="00EF25B6">
              <w:rPr>
                <w:sz w:val="20"/>
              </w:rPr>
              <w:t xml:space="preserve">Clinton Boston Owner, LLC, or another entity controlled by Jeffrey Fox, Sheldon Fox, JLD Advisory LLC &amp; HANAC, Inc.  </w:t>
            </w:r>
          </w:p>
          <w:p w14:paraId="7076294D" w14:textId="77777777" w:rsidR="00F232B6" w:rsidRDefault="00F232B6" w:rsidP="00F232B6">
            <w:pPr>
              <w:rPr>
                <w:sz w:val="20"/>
              </w:rPr>
            </w:pPr>
          </w:p>
        </w:tc>
        <w:tc>
          <w:tcPr>
            <w:tcW w:w="1062" w:type="dxa"/>
          </w:tcPr>
          <w:p w14:paraId="001B5CF9" w14:textId="79B3A758" w:rsidR="00F232B6" w:rsidRDefault="00F232B6" w:rsidP="00F232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2166" w:type="dxa"/>
          </w:tcPr>
          <w:p w14:paraId="34CA6272" w14:textId="7C27DD44" w:rsidR="00F232B6" w:rsidRDefault="00F232B6" w:rsidP="00F232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$59,410,000</w:t>
            </w:r>
          </w:p>
        </w:tc>
      </w:tr>
      <w:tr w:rsidR="00F232B6" w:rsidRPr="009C1CF5" w14:paraId="57BF91A1" w14:textId="77777777" w:rsidTr="003C0D10">
        <w:tc>
          <w:tcPr>
            <w:tcW w:w="3685" w:type="dxa"/>
          </w:tcPr>
          <w:p w14:paraId="16913482" w14:textId="71BF6D1C" w:rsidR="00F232B6" w:rsidRPr="00F232B6" w:rsidRDefault="00F232B6" w:rsidP="00F232B6">
            <w:pPr>
              <w:spacing w:line="252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GHA </w:t>
            </w:r>
            <w:r w:rsidRPr="00F232B6">
              <w:rPr>
                <w:b/>
                <w:bCs/>
                <w:sz w:val="20"/>
              </w:rPr>
              <w:t>Garden Apartments</w:t>
            </w:r>
          </w:p>
          <w:p w14:paraId="741AF4AC" w14:textId="7E41633F" w:rsidR="00F232B6" w:rsidRPr="00F232B6" w:rsidRDefault="00F232B6" w:rsidP="00F232B6">
            <w:pPr>
              <w:spacing w:line="252" w:lineRule="auto"/>
              <w:rPr>
                <w:sz w:val="20"/>
              </w:rPr>
            </w:pPr>
            <w:r w:rsidRPr="00F232B6">
              <w:rPr>
                <w:sz w:val="20"/>
              </w:rPr>
              <w:t xml:space="preserve">376 Sawmill River Road, Elmsford, NY 10523;  </w:t>
            </w:r>
          </w:p>
          <w:p w14:paraId="530329B9" w14:textId="2D89750E" w:rsidR="00F232B6" w:rsidRPr="00F232B6" w:rsidRDefault="00F232B6" w:rsidP="00F232B6">
            <w:pPr>
              <w:spacing w:line="252" w:lineRule="auto"/>
              <w:rPr>
                <w:sz w:val="20"/>
              </w:rPr>
            </w:pPr>
            <w:r w:rsidRPr="00F232B6">
              <w:rPr>
                <w:sz w:val="20"/>
              </w:rPr>
              <w:t xml:space="preserve">61, 63, 65, 67, 69 Secor Road, Ardsley, NY 10502; </w:t>
            </w:r>
          </w:p>
          <w:p w14:paraId="1A6C3E5E" w14:textId="0D5C55A8" w:rsidR="00F232B6" w:rsidRPr="00F232B6" w:rsidRDefault="00F232B6" w:rsidP="00F232B6">
            <w:pPr>
              <w:spacing w:line="252" w:lineRule="auto"/>
              <w:rPr>
                <w:sz w:val="20"/>
              </w:rPr>
            </w:pPr>
            <w:r w:rsidRPr="00F232B6">
              <w:rPr>
                <w:sz w:val="20"/>
              </w:rPr>
              <w:t>100, 102, 104 Greenvale Circle, White Plains, NY 10607;</w:t>
            </w:r>
          </w:p>
          <w:p w14:paraId="5A5E48F1" w14:textId="6619B9F3" w:rsidR="00F232B6" w:rsidRPr="00F232B6" w:rsidRDefault="00F232B6" w:rsidP="00F232B6">
            <w:pPr>
              <w:spacing w:line="252" w:lineRule="auto"/>
              <w:rPr>
                <w:sz w:val="20"/>
              </w:rPr>
            </w:pPr>
            <w:r w:rsidRPr="00F232B6">
              <w:rPr>
                <w:sz w:val="20"/>
              </w:rPr>
              <w:t xml:space="preserve">30, 32, 34, 36, 38 Old White Plains Road, Tarrytown, NY 10591; </w:t>
            </w:r>
          </w:p>
          <w:p w14:paraId="06C9BBFF" w14:textId="7F65510F" w:rsidR="00F232B6" w:rsidRPr="00F232B6" w:rsidRDefault="00F232B6" w:rsidP="00F232B6">
            <w:pPr>
              <w:spacing w:line="252" w:lineRule="auto"/>
              <w:rPr>
                <w:sz w:val="20"/>
              </w:rPr>
            </w:pPr>
            <w:r w:rsidRPr="00F232B6">
              <w:rPr>
                <w:sz w:val="20"/>
              </w:rPr>
              <w:t>71, 73, 75, 77, 79 N. Washington Avenue, Hartsdale, NY</w:t>
            </w:r>
            <w:r>
              <w:rPr>
                <w:sz w:val="20"/>
              </w:rPr>
              <w:t xml:space="preserve"> </w:t>
            </w:r>
            <w:r w:rsidRPr="00F232B6">
              <w:rPr>
                <w:sz w:val="20"/>
              </w:rPr>
              <w:t>10530;</w:t>
            </w:r>
          </w:p>
          <w:p w14:paraId="62387C97" w14:textId="54713730" w:rsidR="00F232B6" w:rsidRDefault="00F232B6" w:rsidP="00F232B6">
            <w:pPr>
              <w:spacing w:line="252" w:lineRule="auto"/>
              <w:rPr>
                <w:b/>
                <w:bCs/>
                <w:sz w:val="20"/>
              </w:rPr>
            </w:pPr>
            <w:r w:rsidRPr="00F232B6">
              <w:rPr>
                <w:sz w:val="20"/>
              </w:rPr>
              <w:t>Town of Greenburgh, NY (Westchester County)</w:t>
            </w:r>
          </w:p>
        </w:tc>
        <w:tc>
          <w:tcPr>
            <w:tcW w:w="3201" w:type="dxa"/>
          </w:tcPr>
          <w:p w14:paraId="2C10A5F1" w14:textId="257BC78C" w:rsidR="00F232B6" w:rsidRDefault="00F232B6" w:rsidP="00F232B6">
            <w:pPr>
              <w:rPr>
                <w:sz w:val="20"/>
              </w:rPr>
            </w:pPr>
            <w:r w:rsidRPr="00EF25B6">
              <w:rPr>
                <w:sz w:val="20"/>
              </w:rPr>
              <w:t>Greenburgh Heights LLC, or another entity controlled by Greenburgh Housing Authority</w:t>
            </w:r>
          </w:p>
        </w:tc>
        <w:tc>
          <w:tcPr>
            <w:tcW w:w="1062" w:type="dxa"/>
          </w:tcPr>
          <w:p w14:paraId="15BAD669" w14:textId="18A31CEE" w:rsidR="00F232B6" w:rsidRDefault="00F232B6" w:rsidP="00F232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2166" w:type="dxa"/>
          </w:tcPr>
          <w:p w14:paraId="3BC0350A" w14:textId="44998C7C" w:rsidR="00F232B6" w:rsidRDefault="00F232B6" w:rsidP="00F232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$37,560,000</w:t>
            </w:r>
          </w:p>
        </w:tc>
      </w:tr>
    </w:tbl>
    <w:p w14:paraId="2C3571DC" w14:textId="77777777" w:rsidR="004A3F00" w:rsidRPr="009C1CF5" w:rsidRDefault="004A3F00" w:rsidP="004A3F00"/>
    <w:p w14:paraId="195DC37D" w14:textId="77777777" w:rsidR="001F0C46" w:rsidRDefault="007E645B" w:rsidP="001F0C46">
      <w:pPr>
        <w:spacing w:before="120" w:after="120"/>
        <w:jc w:val="both"/>
      </w:pPr>
      <w:r w:rsidRPr="00833A31">
        <w:t>For the convenience of interested persons, descriptive material regarding the Projects</w:t>
      </w:r>
      <w:r w:rsidR="0063775E">
        <w:t xml:space="preserve"> may be requested in advance of the hearing by contacting </w:t>
      </w:r>
      <w:r w:rsidR="0063775E" w:rsidRPr="00833A31">
        <w:t>Charni Sochet, Press Secretary, New York State Housing Finance Agency</w:t>
      </w:r>
      <w:r w:rsidR="0063775E">
        <w:t xml:space="preserve"> </w:t>
      </w:r>
      <w:r w:rsidR="0063775E" w:rsidRPr="00833A31">
        <w:t>at (212) 872-0681</w:t>
      </w:r>
      <w:r w:rsidR="0063775E">
        <w:t xml:space="preserve"> or </w:t>
      </w:r>
      <w:r w:rsidR="001F0C46">
        <w:t>via</w:t>
      </w:r>
      <w:r w:rsidR="0063775E">
        <w:t xml:space="preserve"> email at </w:t>
      </w:r>
      <w:hyperlink r:id="rId6" w:history="1">
        <w:r w:rsidR="001F0C46" w:rsidRPr="001348EB">
          <w:rPr>
            <w:rStyle w:val="Hyperlink"/>
          </w:rPr>
          <w:t>Charni.Sochet@nyshcr.org</w:t>
        </w:r>
      </w:hyperlink>
      <w:r w:rsidR="001F0C46">
        <w:t>.</w:t>
      </w:r>
    </w:p>
    <w:p w14:paraId="3D215F96" w14:textId="15EA81A2" w:rsidR="007E645B" w:rsidRDefault="007E645B" w:rsidP="001F0C46">
      <w:pPr>
        <w:spacing w:before="120" w:after="120"/>
        <w:jc w:val="both"/>
      </w:pPr>
      <w:r w:rsidRPr="00833A31">
        <w:t xml:space="preserve">The Agency will accept written statements regarding the proposed issuance of Bonds for the Projects </w:t>
      </w:r>
      <w:r w:rsidR="001F0C46">
        <w:t xml:space="preserve">via email at </w:t>
      </w:r>
      <w:hyperlink r:id="rId7" w:history="1">
        <w:r w:rsidR="001F0C46" w:rsidRPr="001348EB">
          <w:rPr>
            <w:rStyle w:val="Hyperlink"/>
          </w:rPr>
          <w:t>Charni.Sochet@nyshcr.org</w:t>
        </w:r>
      </w:hyperlink>
      <w:r w:rsidRPr="00833A31">
        <w:t xml:space="preserve">, if received no later </w:t>
      </w:r>
      <w:r w:rsidR="003261BF" w:rsidRPr="00B51B48">
        <w:t xml:space="preserve">than </w:t>
      </w:r>
      <w:r w:rsidR="001F0C46" w:rsidRPr="00B51B48">
        <w:t>2</w:t>
      </w:r>
      <w:r w:rsidR="00B51B48" w:rsidRPr="00B51B48">
        <w:t xml:space="preserve">:00 </w:t>
      </w:r>
      <w:r w:rsidR="001F0C46" w:rsidRPr="00B51B48">
        <w:t>p</w:t>
      </w:r>
      <w:r w:rsidR="00B51B48" w:rsidRPr="00B51B48">
        <w:t>.</w:t>
      </w:r>
      <w:r w:rsidR="001F0C46" w:rsidRPr="00B51B48">
        <w:t>m</w:t>
      </w:r>
      <w:r w:rsidR="00B51B48" w:rsidRPr="00B51B48">
        <w:t>.</w:t>
      </w:r>
      <w:r w:rsidR="000931CD" w:rsidRPr="00B51B48">
        <w:t>,</w:t>
      </w:r>
      <w:r w:rsidR="001F0C46">
        <w:t xml:space="preserve"> </w:t>
      </w:r>
      <w:r w:rsidR="00F232B6">
        <w:t>May 2</w:t>
      </w:r>
      <w:r w:rsidR="00252C61">
        <w:t>1</w:t>
      </w:r>
      <w:r w:rsidR="008B1E5D" w:rsidRPr="00833A31">
        <w:t>, 20</w:t>
      </w:r>
      <w:r w:rsidR="000E0930">
        <w:t>2</w:t>
      </w:r>
      <w:r w:rsidR="00D62E8F">
        <w:t>1</w:t>
      </w:r>
      <w:r w:rsidRPr="00833A31">
        <w:t>.</w:t>
      </w:r>
    </w:p>
    <w:p w14:paraId="445CDAC7" w14:textId="77777777" w:rsidR="00546183" w:rsidRDefault="00546183" w:rsidP="001F0C46">
      <w:pPr>
        <w:spacing w:before="120" w:after="120"/>
        <w:jc w:val="both"/>
      </w:pPr>
    </w:p>
    <w:p w14:paraId="3941E39A" w14:textId="77777777" w:rsidR="00546183" w:rsidRDefault="00546183" w:rsidP="001F0C46">
      <w:pPr>
        <w:spacing w:before="120" w:after="120"/>
        <w:jc w:val="both"/>
      </w:pPr>
    </w:p>
    <w:p w14:paraId="2FC56695" w14:textId="77777777" w:rsidR="00546183" w:rsidRDefault="00546183" w:rsidP="001F0C46">
      <w:pPr>
        <w:spacing w:before="120" w:after="120"/>
        <w:jc w:val="both"/>
      </w:pPr>
    </w:p>
    <w:p w14:paraId="42FD4196" w14:textId="77777777" w:rsidR="00546183" w:rsidRDefault="00546183" w:rsidP="001F0C46">
      <w:pPr>
        <w:spacing w:before="120" w:after="120"/>
        <w:jc w:val="both"/>
      </w:pPr>
    </w:p>
    <w:p w14:paraId="08CA0112" w14:textId="77777777" w:rsidR="00546183" w:rsidRDefault="00546183" w:rsidP="00B72AA8">
      <w:pPr>
        <w:pStyle w:val="ListParagraph"/>
      </w:pPr>
    </w:p>
    <w:sectPr w:rsidR="00546183" w:rsidSect="00E526E3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B2BE9"/>
    <w:multiLevelType w:val="hybridMultilevel"/>
    <w:tmpl w:val="47DAD3D2"/>
    <w:lvl w:ilvl="0" w:tplc="5F76A9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45B"/>
    <w:rsid w:val="00001C04"/>
    <w:rsid w:val="00004797"/>
    <w:rsid w:val="00006AF9"/>
    <w:rsid w:val="00021694"/>
    <w:rsid w:val="00021ACF"/>
    <w:rsid w:val="0002278D"/>
    <w:rsid w:val="00025941"/>
    <w:rsid w:val="00030E89"/>
    <w:rsid w:val="00031CD8"/>
    <w:rsid w:val="00032096"/>
    <w:rsid w:val="00034D96"/>
    <w:rsid w:val="000462B4"/>
    <w:rsid w:val="00056793"/>
    <w:rsid w:val="0006447A"/>
    <w:rsid w:val="0006463D"/>
    <w:rsid w:val="00066869"/>
    <w:rsid w:val="00071072"/>
    <w:rsid w:val="0007252E"/>
    <w:rsid w:val="00076B4A"/>
    <w:rsid w:val="00080A1A"/>
    <w:rsid w:val="00082AAD"/>
    <w:rsid w:val="00086BB2"/>
    <w:rsid w:val="00090B82"/>
    <w:rsid w:val="000918B2"/>
    <w:rsid w:val="000931CD"/>
    <w:rsid w:val="00097E7C"/>
    <w:rsid w:val="000A1877"/>
    <w:rsid w:val="000A5283"/>
    <w:rsid w:val="000B2940"/>
    <w:rsid w:val="000B731E"/>
    <w:rsid w:val="000C4D42"/>
    <w:rsid w:val="000C6128"/>
    <w:rsid w:val="000C686A"/>
    <w:rsid w:val="000D1890"/>
    <w:rsid w:val="000D2B40"/>
    <w:rsid w:val="000D2FD7"/>
    <w:rsid w:val="000E0930"/>
    <w:rsid w:val="000E0975"/>
    <w:rsid w:val="000E0B67"/>
    <w:rsid w:val="000E6DE1"/>
    <w:rsid w:val="000F1DE2"/>
    <w:rsid w:val="00100DA0"/>
    <w:rsid w:val="001020BC"/>
    <w:rsid w:val="00103783"/>
    <w:rsid w:val="00105A1D"/>
    <w:rsid w:val="00105D01"/>
    <w:rsid w:val="0012309A"/>
    <w:rsid w:val="00123BE0"/>
    <w:rsid w:val="0012417D"/>
    <w:rsid w:val="00126628"/>
    <w:rsid w:val="00133439"/>
    <w:rsid w:val="00141541"/>
    <w:rsid w:val="00143E25"/>
    <w:rsid w:val="00154481"/>
    <w:rsid w:val="00156926"/>
    <w:rsid w:val="0016069B"/>
    <w:rsid w:val="001711E1"/>
    <w:rsid w:val="00176102"/>
    <w:rsid w:val="00180CEE"/>
    <w:rsid w:val="00182BB4"/>
    <w:rsid w:val="001909A5"/>
    <w:rsid w:val="00190C52"/>
    <w:rsid w:val="00191193"/>
    <w:rsid w:val="00192A6A"/>
    <w:rsid w:val="00192CEF"/>
    <w:rsid w:val="00193548"/>
    <w:rsid w:val="00194BB2"/>
    <w:rsid w:val="001A71B8"/>
    <w:rsid w:val="001A77C6"/>
    <w:rsid w:val="001B17DA"/>
    <w:rsid w:val="001B26FE"/>
    <w:rsid w:val="001B3BCA"/>
    <w:rsid w:val="001B6B29"/>
    <w:rsid w:val="001C1382"/>
    <w:rsid w:val="001D1ABE"/>
    <w:rsid w:val="001D6DC1"/>
    <w:rsid w:val="001E36B5"/>
    <w:rsid w:val="001E3B22"/>
    <w:rsid w:val="001E48F8"/>
    <w:rsid w:val="001F0C46"/>
    <w:rsid w:val="001F1A2E"/>
    <w:rsid w:val="001F3AEB"/>
    <w:rsid w:val="001F6284"/>
    <w:rsid w:val="001F7739"/>
    <w:rsid w:val="001F7CDD"/>
    <w:rsid w:val="00200793"/>
    <w:rsid w:val="00210D2F"/>
    <w:rsid w:val="00213B00"/>
    <w:rsid w:val="00224B46"/>
    <w:rsid w:val="00226547"/>
    <w:rsid w:val="0023176D"/>
    <w:rsid w:val="00236C98"/>
    <w:rsid w:val="00237ECE"/>
    <w:rsid w:val="0024023B"/>
    <w:rsid w:val="00243531"/>
    <w:rsid w:val="0025046C"/>
    <w:rsid w:val="00252C61"/>
    <w:rsid w:val="00253529"/>
    <w:rsid w:val="00256F8C"/>
    <w:rsid w:val="002608D9"/>
    <w:rsid w:val="00263A7B"/>
    <w:rsid w:val="00267938"/>
    <w:rsid w:val="00272852"/>
    <w:rsid w:val="0027439C"/>
    <w:rsid w:val="00275894"/>
    <w:rsid w:val="00275E84"/>
    <w:rsid w:val="00286C5B"/>
    <w:rsid w:val="00290C2D"/>
    <w:rsid w:val="0029161B"/>
    <w:rsid w:val="00294CEF"/>
    <w:rsid w:val="00297454"/>
    <w:rsid w:val="002A3E9A"/>
    <w:rsid w:val="002A42DE"/>
    <w:rsid w:val="002B18A2"/>
    <w:rsid w:val="002B488D"/>
    <w:rsid w:val="002B6091"/>
    <w:rsid w:val="002B75F3"/>
    <w:rsid w:val="002C1156"/>
    <w:rsid w:val="002C3BC3"/>
    <w:rsid w:val="002D715C"/>
    <w:rsid w:val="002E2907"/>
    <w:rsid w:val="002E468C"/>
    <w:rsid w:val="002E73AA"/>
    <w:rsid w:val="002E7FC4"/>
    <w:rsid w:val="002F238F"/>
    <w:rsid w:val="002F3462"/>
    <w:rsid w:val="002F4EAE"/>
    <w:rsid w:val="002F71C5"/>
    <w:rsid w:val="00302490"/>
    <w:rsid w:val="003057DD"/>
    <w:rsid w:val="00311B0F"/>
    <w:rsid w:val="0031481B"/>
    <w:rsid w:val="0032154A"/>
    <w:rsid w:val="00323B7E"/>
    <w:rsid w:val="003261BF"/>
    <w:rsid w:val="003321BA"/>
    <w:rsid w:val="00337729"/>
    <w:rsid w:val="003405DF"/>
    <w:rsid w:val="00340DD9"/>
    <w:rsid w:val="00340E9A"/>
    <w:rsid w:val="00346782"/>
    <w:rsid w:val="003506B0"/>
    <w:rsid w:val="00354881"/>
    <w:rsid w:val="0037730C"/>
    <w:rsid w:val="00382FEC"/>
    <w:rsid w:val="00387100"/>
    <w:rsid w:val="00387376"/>
    <w:rsid w:val="003910B6"/>
    <w:rsid w:val="003913EE"/>
    <w:rsid w:val="0039181C"/>
    <w:rsid w:val="003924DB"/>
    <w:rsid w:val="003945E4"/>
    <w:rsid w:val="003A0910"/>
    <w:rsid w:val="003A2416"/>
    <w:rsid w:val="003A4C16"/>
    <w:rsid w:val="003A7088"/>
    <w:rsid w:val="003B06E9"/>
    <w:rsid w:val="003B558E"/>
    <w:rsid w:val="003C0D10"/>
    <w:rsid w:val="003C14BE"/>
    <w:rsid w:val="003C2186"/>
    <w:rsid w:val="003C5A1A"/>
    <w:rsid w:val="003D194D"/>
    <w:rsid w:val="003D459D"/>
    <w:rsid w:val="003D4D60"/>
    <w:rsid w:val="003D6752"/>
    <w:rsid w:val="003E33F4"/>
    <w:rsid w:val="003E76FD"/>
    <w:rsid w:val="003F66F3"/>
    <w:rsid w:val="0040344A"/>
    <w:rsid w:val="004041CF"/>
    <w:rsid w:val="00414DD7"/>
    <w:rsid w:val="004276E5"/>
    <w:rsid w:val="00430441"/>
    <w:rsid w:val="004401BB"/>
    <w:rsid w:val="00443A3E"/>
    <w:rsid w:val="00451033"/>
    <w:rsid w:val="00461BC0"/>
    <w:rsid w:val="00470CDE"/>
    <w:rsid w:val="00472C69"/>
    <w:rsid w:val="004801B5"/>
    <w:rsid w:val="00480B08"/>
    <w:rsid w:val="00482DD5"/>
    <w:rsid w:val="004839A6"/>
    <w:rsid w:val="00483CA7"/>
    <w:rsid w:val="00484631"/>
    <w:rsid w:val="00486AF9"/>
    <w:rsid w:val="0049270E"/>
    <w:rsid w:val="00493348"/>
    <w:rsid w:val="004A1F82"/>
    <w:rsid w:val="004A3F00"/>
    <w:rsid w:val="004A6956"/>
    <w:rsid w:val="004B3A4E"/>
    <w:rsid w:val="004B566E"/>
    <w:rsid w:val="004B679B"/>
    <w:rsid w:val="004C01A7"/>
    <w:rsid w:val="004E1A3F"/>
    <w:rsid w:val="004E39EB"/>
    <w:rsid w:val="004F7D5A"/>
    <w:rsid w:val="00505F50"/>
    <w:rsid w:val="00506DEA"/>
    <w:rsid w:val="00511440"/>
    <w:rsid w:val="005221BE"/>
    <w:rsid w:val="005251DE"/>
    <w:rsid w:val="0052680F"/>
    <w:rsid w:val="00533156"/>
    <w:rsid w:val="0053410A"/>
    <w:rsid w:val="0053448D"/>
    <w:rsid w:val="00535642"/>
    <w:rsid w:val="005414FC"/>
    <w:rsid w:val="00546183"/>
    <w:rsid w:val="00552D07"/>
    <w:rsid w:val="005547D9"/>
    <w:rsid w:val="00556B63"/>
    <w:rsid w:val="00557CE0"/>
    <w:rsid w:val="0056187F"/>
    <w:rsid w:val="00562EB6"/>
    <w:rsid w:val="00571D39"/>
    <w:rsid w:val="00576C3B"/>
    <w:rsid w:val="005810A7"/>
    <w:rsid w:val="00581494"/>
    <w:rsid w:val="00581BB9"/>
    <w:rsid w:val="00583377"/>
    <w:rsid w:val="00584FA1"/>
    <w:rsid w:val="00597192"/>
    <w:rsid w:val="005B7339"/>
    <w:rsid w:val="005C4803"/>
    <w:rsid w:val="005C6839"/>
    <w:rsid w:val="005C7218"/>
    <w:rsid w:val="005C76D3"/>
    <w:rsid w:val="005D7889"/>
    <w:rsid w:val="005E4782"/>
    <w:rsid w:val="005E6842"/>
    <w:rsid w:val="005F0661"/>
    <w:rsid w:val="005F33B3"/>
    <w:rsid w:val="005F69C5"/>
    <w:rsid w:val="005F7351"/>
    <w:rsid w:val="00602A92"/>
    <w:rsid w:val="006071C4"/>
    <w:rsid w:val="0060765D"/>
    <w:rsid w:val="00626DE8"/>
    <w:rsid w:val="00634CDF"/>
    <w:rsid w:val="00635D3F"/>
    <w:rsid w:val="0063769A"/>
    <w:rsid w:val="0063775E"/>
    <w:rsid w:val="006424C2"/>
    <w:rsid w:val="006435A6"/>
    <w:rsid w:val="006442E9"/>
    <w:rsid w:val="006466BE"/>
    <w:rsid w:val="0065271E"/>
    <w:rsid w:val="00653A6D"/>
    <w:rsid w:val="0065603F"/>
    <w:rsid w:val="00665799"/>
    <w:rsid w:val="00676E14"/>
    <w:rsid w:val="006816F9"/>
    <w:rsid w:val="00685B17"/>
    <w:rsid w:val="00695BC5"/>
    <w:rsid w:val="006B2BBC"/>
    <w:rsid w:val="006B33ED"/>
    <w:rsid w:val="006C3CC9"/>
    <w:rsid w:val="006C5A78"/>
    <w:rsid w:val="006C6D1A"/>
    <w:rsid w:val="006D1704"/>
    <w:rsid w:val="006D5BFF"/>
    <w:rsid w:val="006D6719"/>
    <w:rsid w:val="006E04CD"/>
    <w:rsid w:val="006E30D3"/>
    <w:rsid w:val="006E4324"/>
    <w:rsid w:val="006F502B"/>
    <w:rsid w:val="006F52E5"/>
    <w:rsid w:val="00704AC0"/>
    <w:rsid w:val="00706231"/>
    <w:rsid w:val="0070772B"/>
    <w:rsid w:val="00710C99"/>
    <w:rsid w:val="00713084"/>
    <w:rsid w:val="00713D56"/>
    <w:rsid w:val="007230A4"/>
    <w:rsid w:val="00724C56"/>
    <w:rsid w:val="007276E0"/>
    <w:rsid w:val="00727BE1"/>
    <w:rsid w:val="007332DC"/>
    <w:rsid w:val="007463A5"/>
    <w:rsid w:val="007474EC"/>
    <w:rsid w:val="007502C3"/>
    <w:rsid w:val="00760478"/>
    <w:rsid w:val="00764D28"/>
    <w:rsid w:val="00766BB4"/>
    <w:rsid w:val="007670E3"/>
    <w:rsid w:val="007733C7"/>
    <w:rsid w:val="0078050F"/>
    <w:rsid w:val="007829CC"/>
    <w:rsid w:val="00786E1D"/>
    <w:rsid w:val="00793A44"/>
    <w:rsid w:val="00793F28"/>
    <w:rsid w:val="007A1C8D"/>
    <w:rsid w:val="007B015E"/>
    <w:rsid w:val="007B2820"/>
    <w:rsid w:val="007C1D29"/>
    <w:rsid w:val="007C3FD1"/>
    <w:rsid w:val="007C4D08"/>
    <w:rsid w:val="007E22D4"/>
    <w:rsid w:val="007E613A"/>
    <w:rsid w:val="007E645B"/>
    <w:rsid w:val="007F0EE4"/>
    <w:rsid w:val="007F7F01"/>
    <w:rsid w:val="00801DDA"/>
    <w:rsid w:val="00803A31"/>
    <w:rsid w:val="008050C3"/>
    <w:rsid w:val="00807B95"/>
    <w:rsid w:val="008130A3"/>
    <w:rsid w:val="00815C5D"/>
    <w:rsid w:val="00817EAD"/>
    <w:rsid w:val="0082069A"/>
    <w:rsid w:val="00823E65"/>
    <w:rsid w:val="00824A33"/>
    <w:rsid w:val="0083333D"/>
    <w:rsid w:val="00833A31"/>
    <w:rsid w:val="0083427E"/>
    <w:rsid w:val="008404B6"/>
    <w:rsid w:val="00843E6F"/>
    <w:rsid w:val="00850BF4"/>
    <w:rsid w:val="00855B6F"/>
    <w:rsid w:val="008571A8"/>
    <w:rsid w:val="008636E8"/>
    <w:rsid w:val="0086651B"/>
    <w:rsid w:val="008665CA"/>
    <w:rsid w:val="00871F9D"/>
    <w:rsid w:val="0087245D"/>
    <w:rsid w:val="00875919"/>
    <w:rsid w:val="00885A05"/>
    <w:rsid w:val="00885F1D"/>
    <w:rsid w:val="008928FD"/>
    <w:rsid w:val="00893EC0"/>
    <w:rsid w:val="00895AA0"/>
    <w:rsid w:val="008977A0"/>
    <w:rsid w:val="008A20FD"/>
    <w:rsid w:val="008A47A2"/>
    <w:rsid w:val="008A71C9"/>
    <w:rsid w:val="008B1A75"/>
    <w:rsid w:val="008B1E5D"/>
    <w:rsid w:val="008B34E4"/>
    <w:rsid w:val="008B4581"/>
    <w:rsid w:val="008B7F67"/>
    <w:rsid w:val="008C0406"/>
    <w:rsid w:val="008C0DD8"/>
    <w:rsid w:val="008D0D29"/>
    <w:rsid w:val="008E4331"/>
    <w:rsid w:val="008F46D4"/>
    <w:rsid w:val="008F7BCE"/>
    <w:rsid w:val="00901F77"/>
    <w:rsid w:val="00910A99"/>
    <w:rsid w:val="00912EE2"/>
    <w:rsid w:val="00915D20"/>
    <w:rsid w:val="00917131"/>
    <w:rsid w:val="0092161B"/>
    <w:rsid w:val="00927C1C"/>
    <w:rsid w:val="0093463B"/>
    <w:rsid w:val="00935E50"/>
    <w:rsid w:val="009366F2"/>
    <w:rsid w:val="00943173"/>
    <w:rsid w:val="00955916"/>
    <w:rsid w:val="0096042B"/>
    <w:rsid w:val="00963970"/>
    <w:rsid w:val="00970884"/>
    <w:rsid w:val="00973252"/>
    <w:rsid w:val="009759A2"/>
    <w:rsid w:val="00983E82"/>
    <w:rsid w:val="00991668"/>
    <w:rsid w:val="00992733"/>
    <w:rsid w:val="00994721"/>
    <w:rsid w:val="009965B4"/>
    <w:rsid w:val="00997415"/>
    <w:rsid w:val="009B0ABF"/>
    <w:rsid w:val="009B2834"/>
    <w:rsid w:val="009B66ED"/>
    <w:rsid w:val="009C22E5"/>
    <w:rsid w:val="009C268F"/>
    <w:rsid w:val="009C2E76"/>
    <w:rsid w:val="009C5C3E"/>
    <w:rsid w:val="009C6773"/>
    <w:rsid w:val="009C6E67"/>
    <w:rsid w:val="009C7662"/>
    <w:rsid w:val="009D0E03"/>
    <w:rsid w:val="009D21DA"/>
    <w:rsid w:val="009D3D0C"/>
    <w:rsid w:val="009E03D1"/>
    <w:rsid w:val="009E314E"/>
    <w:rsid w:val="009E43AF"/>
    <w:rsid w:val="009E6014"/>
    <w:rsid w:val="009F038F"/>
    <w:rsid w:val="00A006C6"/>
    <w:rsid w:val="00A0475B"/>
    <w:rsid w:val="00A04B9F"/>
    <w:rsid w:val="00A0738E"/>
    <w:rsid w:val="00A12C92"/>
    <w:rsid w:val="00A13859"/>
    <w:rsid w:val="00A15F6F"/>
    <w:rsid w:val="00A363ED"/>
    <w:rsid w:val="00A36F24"/>
    <w:rsid w:val="00A42B31"/>
    <w:rsid w:val="00A43AE5"/>
    <w:rsid w:val="00A50FA2"/>
    <w:rsid w:val="00A52878"/>
    <w:rsid w:val="00A6005B"/>
    <w:rsid w:val="00A60F02"/>
    <w:rsid w:val="00A61321"/>
    <w:rsid w:val="00A620F0"/>
    <w:rsid w:val="00A65A37"/>
    <w:rsid w:val="00A65E16"/>
    <w:rsid w:val="00A703AB"/>
    <w:rsid w:val="00A76C6C"/>
    <w:rsid w:val="00A76F96"/>
    <w:rsid w:val="00A77A2E"/>
    <w:rsid w:val="00A8209D"/>
    <w:rsid w:val="00AA3895"/>
    <w:rsid w:val="00AB2E8B"/>
    <w:rsid w:val="00AB3943"/>
    <w:rsid w:val="00AC0F2D"/>
    <w:rsid w:val="00AC5B87"/>
    <w:rsid w:val="00AD3FC0"/>
    <w:rsid w:val="00AD4455"/>
    <w:rsid w:val="00AE077A"/>
    <w:rsid w:val="00AE32AB"/>
    <w:rsid w:val="00AE4C31"/>
    <w:rsid w:val="00AF5A89"/>
    <w:rsid w:val="00AF6C6C"/>
    <w:rsid w:val="00B0112E"/>
    <w:rsid w:val="00B05928"/>
    <w:rsid w:val="00B12684"/>
    <w:rsid w:val="00B22C47"/>
    <w:rsid w:val="00B2354D"/>
    <w:rsid w:val="00B266CF"/>
    <w:rsid w:val="00B33F6C"/>
    <w:rsid w:val="00B3440D"/>
    <w:rsid w:val="00B34A2F"/>
    <w:rsid w:val="00B37E69"/>
    <w:rsid w:val="00B42249"/>
    <w:rsid w:val="00B47064"/>
    <w:rsid w:val="00B51B48"/>
    <w:rsid w:val="00B532EA"/>
    <w:rsid w:val="00B66F0E"/>
    <w:rsid w:val="00B72A41"/>
    <w:rsid w:val="00B72AA8"/>
    <w:rsid w:val="00B7426E"/>
    <w:rsid w:val="00B75B38"/>
    <w:rsid w:val="00B75F12"/>
    <w:rsid w:val="00B77E52"/>
    <w:rsid w:val="00B86D19"/>
    <w:rsid w:val="00B97586"/>
    <w:rsid w:val="00BA0648"/>
    <w:rsid w:val="00BA25BF"/>
    <w:rsid w:val="00BA4106"/>
    <w:rsid w:val="00BB0BC8"/>
    <w:rsid w:val="00BB332C"/>
    <w:rsid w:val="00BC2914"/>
    <w:rsid w:val="00BC57A9"/>
    <w:rsid w:val="00BD7F6F"/>
    <w:rsid w:val="00BE09FC"/>
    <w:rsid w:val="00BF65A4"/>
    <w:rsid w:val="00BF7A0A"/>
    <w:rsid w:val="00C02099"/>
    <w:rsid w:val="00C0677D"/>
    <w:rsid w:val="00C16505"/>
    <w:rsid w:val="00C177E0"/>
    <w:rsid w:val="00C24EC6"/>
    <w:rsid w:val="00C362DA"/>
    <w:rsid w:val="00C42F09"/>
    <w:rsid w:val="00C51C27"/>
    <w:rsid w:val="00C52163"/>
    <w:rsid w:val="00C54930"/>
    <w:rsid w:val="00C56E80"/>
    <w:rsid w:val="00C80DE7"/>
    <w:rsid w:val="00C82362"/>
    <w:rsid w:val="00C84346"/>
    <w:rsid w:val="00C850EF"/>
    <w:rsid w:val="00C9511D"/>
    <w:rsid w:val="00CA7924"/>
    <w:rsid w:val="00CB0489"/>
    <w:rsid w:val="00CB1965"/>
    <w:rsid w:val="00CB74FE"/>
    <w:rsid w:val="00CD0E39"/>
    <w:rsid w:val="00CD1FFF"/>
    <w:rsid w:val="00CD452F"/>
    <w:rsid w:val="00CD6A07"/>
    <w:rsid w:val="00D0581E"/>
    <w:rsid w:val="00D073EE"/>
    <w:rsid w:val="00D12A81"/>
    <w:rsid w:val="00D14EA4"/>
    <w:rsid w:val="00D20DAB"/>
    <w:rsid w:val="00D213C6"/>
    <w:rsid w:val="00D355B4"/>
    <w:rsid w:val="00D35AD2"/>
    <w:rsid w:val="00D41597"/>
    <w:rsid w:val="00D419FD"/>
    <w:rsid w:val="00D507CA"/>
    <w:rsid w:val="00D52918"/>
    <w:rsid w:val="00D6279E"/>
    <w:rsid w:val="00D62E8F"/>
    <w:rsid w:val="00D65B4B"/>
    <w:rsid w:val="00D70B62"/>
    <w:rsid w:val="00D7208A"/>
    <w:rsid w:val="00D87C8F"/>
    <w:rsid w:val="00D87D3F"/>
    <w:rsid w:val="00D94153"/>
    <w:rsid w:val="00D96429"/>
    <w:rsid w:val="00D974FC"/>
    <w:rsid w:val="00DA37CA"/>
    <w:rsid w:val="00DB41FF"/>
    <w:rsid w:val="00DC5CBD"/>
    <w:rsid w:val="00DC75A2"/>
    <w:rsid w:val="00DD1074"/>
    <w:rsid w:val="00DD3631"/>
    <w:rsid w:val="00DD514B"/>
    <w:rsid w:val="00DD5933"/>
    <w:rsid w:val="00DE4B7B"/>
    <w:rsid w:val="00DF2A2E"/>
    <w:rsid w:val="00DF3A42"/>
    <w:rsid w:val="00DF3C66"/>
    <w:rsid w:val="00DF3EE3"/>
    <w:rsid w:val="00E01DF4"/>
    <w:rsid w:val="00E0331C"/>
    <w:rsid w:val="00E0464B"/>
    <w:rsid w:val="00E0553B"/>
    <w:rsid w:val="00E065D7"/>
    <w:rsid w:val="00E12E38"/>
    <w:rsid w:val="00E14792"/>
    <w:rsid w:val="00E259A4"/>
    <w:rsid w:val="00E303A3"/>
    <w:rsid w:val="00E37C8C"/>
    <w:rsid w:val="00E42F06"/>
    <w:rsid w:val="00E4545E"/>
    <w:rsid w:val="00E45B4A"/>
    <w:rsid w:val="00E475E2"/>
    <w:rsid w:val="00E56F8D"/>
    <w:rsid w:val="00E6176C"/>
    <w:rsid w:val="00E621FE"/>
    <w:rsid w:val="00E64665"/>
    <w:rsid w:val="00E7327D"/>
    <w:rsid w:val="00E855BD"/>
    <w:rsid w:val="00E869AD"/>
    <w:rsid w:val="00E96782"/>
    <w:rsid w:val="00E97B8A"/>
    <w:rsid w:val="00E97EB6"/>
    <w:rsid w:val="00EA2539"/>
    <w:rsid w:val="00EB3E43"/>
    <w:rsid w:val="00EB506F"/>
    <w:rsid w:val="00EB6052"/>
    <w:rsid w:val="00EC02DC"/>
    <w:rsid w:val="00EC5AB7"/>
    <w:rsid w:val="00EE0250"/>
    <w:rsid w:val="00EE048B"/>
    <w:rsid w:val="00EE2A7A"/>
    <w:rsid w:val="00EE4D0B"/>
    <w:rsid w:val="00EE70BA"/>
    <w:rsid w:val="00EF5291"/>
    <w:rsid w:val="00F00F81"/>
    <w:rsid w:val="00F04C27"/>
    <w:rsid w:val="00F04DF3"/>
    <w:rsid w:val="00F04FBC"/>
    <w:rsid w:val="00F06783"/>
    <w:rsid w:val="00F12B25"/>
    <w:rsid w:val="00F1479C"/>
    <w:rsid w:val="00F16D73"/>
    <w:rsid w:val="00F232B6"/>
    <w:rsid w:val="00F24857"/>
    <w:rsid w:val="00F26812"/>
    <w:rsid w:val="00F27014"/>
    <w:rsid w:val="00F279CA"/>
    <w:rsid w:val="00F27FF0"/>
    <w:rsid w:val="00F307F0"/>
    <w:rsid w:val="00F3305E"/>
    <w:rsid w:val="00F3646D"/>
    <w:rsid w:val="00F41DF9"/>
    <w:rsid w:val="00F4300A"/>
    <w:rsid w:val="00F47CBA"/>
    <w:rsid w:val="00F509CA"/>
    <w:rsid w:val="00F51433"/>
    <w:rsid w:val="00F52797"/>
    <w:rsid w:val="00F53686"/>
    <w:rsid w:val="00F537D6"/>
    <w:rsid w:val="00F57F26"/>
    <w:rsid w:val="00F6179B"/>
    <w:rsid w:val="00F62727"/>
    <w:rsid w:val="00F630F5"/>
    <w:rsid w:val="00F63FFD"/>
    <w:rsid w:val="00F72930"/>
    <w:rsid w:val="00F765F8"/>
    <w:rsid w:val="00F83F7B"/>
    <w:rsid w:val="00F86930"/>
    <w:rsid w:val="00FA2F38"/>
    <w:rsid w:val="00FB05C4"/>
    <w:rsid w:val="00FB15E1"/>
    <w:rsid w:val="00FB5F70"/>
    <w:rsid w:val="00FC4AAF"/>
    <w:rsid w:val="00FD0391"/>
    <w:rsid w:val="00FD1B60"/>
    <w:rsid w:val="00FD3658"/>
    <w:rsid w:val="00FD5BBA"/>
    <w:rsid w:val="00FD754C"/>
    <w:rsid w:val="00FE2633"/>
    <w:rsid w:val="00FE3F75"/>
    <w:rsid w:val="00FF07B0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871632"/>
  <w15:docId w15:val="{6E1547E1-F7FE-4A02-BAB1-EA8BA987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645B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7E645B"/>
    <w:pPr>
      <w:keepNext/>
      <w:jc w:val="both"/>
      <w:outlineLvl w:val="7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F735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5F7351"/>
    <w:rPr>
      <w:rFonts w:cs="Arial"/>
      <w:sz w:val="20"/>
    </w:rPr>
  </w:style>
  <w:style w:type="character" w:customStyle="1" w:styleId="Heading8Char">
    <w:name w:val="Heading 8 Char"/>
    <w:basedOn w:val="DefaultParagraphFont"/>
    <w:link w:val="Heading8"/>
    <w:rsid w:val="007E645B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E4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4C3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23B7E"/>
    <w:rPr>
      <w:sz w:val="24"/>
    </w:rPr>
  </w:style>
  <w:style w:type="paragraph" w:customStyle="1" w:styleId="xmsonormal">
    <w:name w:val="x_msonormal"/>
    <w:basedOn w:val="Normal"/>
    <w:rsid w:val="00191193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1F0C4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0C4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A3F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F00"/>
    <w:rPr>
      <w:rFonts w:ascii="Calibri" w:eastAsiaTheme="minorHAnsi" w:hAnsi="Calibri" w:cs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F00"/>
    <w:rPr>
      <w:rFonts w:ascii="Calibri" w:eastAsiaTheme="minorHAnsi" w:hAnsi="Calibri" w:cs="Calibri"/>
    </w:rPr>
  </w:style>
  <w:style w:type="character" w:customStyle="1" w:styleId="xnormaltextrun">
    <w:name w:val="x_normaltextrun"/>
    <w:basedOn w:val="DefaultParagraphFont"/>
    <w:rsid w:val="009F038F"/>
  </w:style>
  <w:style w:type="character" w:customStyle="1" w:styleId="normaltextrun">
    <w:name w:val="normaltextrun"/>
    <w:basedOn w:val="DefaultParagraphFont"/>
    <w:rsid w:val="009F038F"/>
  </w:style>
  <w:style w:type="character" w:customStyle="1" w:styleId="eop">
    <w:name w:val="eop"/>
    <w:basedOn w:val="DefaultParagraphFont"/>
    <w:rsid w:val="009F038F"/>
  </w:style>
  <w:style w:type="table" w:styleId="TableGrid">
    <w:name w:val="Table Grid"/>
    <w:basedOn w:val="TableNormal"/>
    <w:rsid w:val="009F0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F038F"/>
    <w:pPr>
      <w:spacing w:before="100" w:beforeAutospacing="1" w:after="100" w:afterAutospacing="1"/>
    </w:pPr>
    <w:rPr>
      <w:rFonts w:eastAsiaTheme="minorHAnsi"/>
      <w:szCs w:val="24"/>
    </w:rPr>
  </w:style>
  <w:style w:type="paragraph" w:styleId="NormalWeb">
    <w:name w:val="Normal (Web)"/>
    <w:basedOn w:val="Normal"/>
    <w:uiPriority w:val="99"/>
    <w:unhideWhenUsed/>
    <w:rsid w:val="0056187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46183"/>
    <w:pPr>
      <w:ind w:left="720"/>
      <w:contextualSpacing/>
    </w:pPr>
    <w:rPr>
      <w:rFonts w:eastAsiaTheme="minorHAnsi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4D08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4D08"/>
    <w:rPr>
      <w:rFonts w:ascii="Calibri" w:eastAsiaTheme="minorHAns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arni.Sochet@nyshc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rni.Sochet@nyshc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5A9C4-B386-4913-8DF7-C29A938C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NYHomes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Johnson</dc:creator>
  <cp:keywords/>
  <dc:description/>
  <cp:lastModifiedBy>Stallings, Kenneth (NYSHCR)</cp:lastModifiedBy>
  <cp:revision>3</cp:revision>
  <cp:lastPrinted>2017-09-19T20:24:00Z</cp:lastPrinted>
  <dcterms:created xsi:type="dcterms:W3CDTF">2021-05-17T14:16:00Z</dcterms:created>
  <dcterms:modified xsi:type="dcterms:W3CDTF">2021-05-17T14:34:00Z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6db5b0b9-ca43-49cd-a401-f8bb35177fdd</vt:lpwstr>
  </property>
</Properties>
</file>